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20"/>
          <w:rFonts w:hint="eastAsia" w:ascii="仿宋_GB2312" w:hAnsi="仿宋"/>
          <w:kern w:val="0"/>
        </w:rPr>
      </w:pPr>
      <w:bookmarkStart w:id="0" w:name="_GoBack"/>
      <w:bookmarkEnd w:id="0"/>
    </w:p>
    <w:p>
      <w:pPr>
        <w:rPr>
          <w:rStyle w:val="20"/>
          <w:rFonts w:hint="eastAsia" w:ascii="仿宋_GB2312" w:hAnsi="仿宋"/>
          <w:kern w:val="0"/>
        </w:rPr>
      </w:pPr>
      <w:r>
        <w:rPr>
          <w:rFonts w:hint="eastAsia" w:ascii="仿宋_GB2312" w:hAnsi="仿宋"/>
          <w:kern w:val="0"/>
        </w:rPr>
        <mc:AlternateContent>
          <mc:Choice Requires="wps">
            <w:drawing>
              <wp:anchor distT="0" distB="0" distL="114300" distR="114300" simplePos="0" relativeHeight="251659264" behindDoc="1" locked="0" layoutInCell="1" allowOverlap="1">
                <wp:simplePos x="0" y="0"/>
                <wp:positionH relativeFrom="column">
                  <wp:posOffset>273685</wp:posOffset>
                </wp:positionH>
                <wp:positionV relativeFrom="paragraph">
                  <wp:posOffset>215900</wp:posOffset>
                </wp:positionV>
                <wp:extent cx="5238750" cy="2094230"/>
                <wp:effectExtent l="5080" t="4445" r="13970" b="15875"/>
                <wp:wrapNone/>
                <wp:docPr id="1" name="矩形 27"/>
                <wp:cNvGraphicFramePr/>
                <a:graphic xmlns:a="http://schemas.openxmlformats.org/drawingml/2006/main">
                  <a:graphicData uri="http://schemas.microsoft.com/office/word/2010/wordprocessingShape">
                    <wps:wsp>
                      <wps:cNvSpPr/>
                      <wps:spPr>
                        <a:xfrm>
                          <a:off x="0" y="0"/>
                          <a:ext cx="5238750" cy="20942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napToGrid w:val="0"/>
                              <w:spacing w:line="1020" w:lineRule="exact"/>
                              <w:jc w:val="distribute"/>
                              <w:rPr>
                                <w:rFonts w:hint="eastAsia" w:eastAsia="方正小标宋简体"/>
                                <w:color w:val="FF0000"/>
                                <w:w w:val="75"/>
                                <w:sz w:val="80"/>
                              </w:rPr>
                            </w:pPr>
                            <w:r>
                              <w:rPr>
                                <w:rFonts w:hint="eastAsia" w:eastAsia="方正小标宋简体"/>
                                <w:color w:val="FF0000"/>
                                <w:w w:val="75"/>
                                <w:sz w:val="80"/>
                              </w:rPr>
                              <w:t>河南省教育厅</w:t>
                            </w:r>
                          </w:p>
                          <w:p>
                            <w:pPr>
                              <w:snapToGrid w:val="0"/>
                              <w:spacing w:line="1020" w:lineRule="exact"/>
                              <w:jc w:val="distribute"/>
                              <w:rPr>
                                <w:rFonts w:hint="eastAsia" w:eastAsia="方正小标宋简体"/>
                                <w:color w:val="FF0000"/>
                                <w:w w:val="75"/>
                                <w:sz w:val="80"/>
                              </w:rPr>
                            </w:pPr>
                            <w:r>
                              <w:rPr>
                                <w:rFonts w:hint="eastAsia" w:eastAsia="方正小标宋简体"/>
                                <w:color w:val="FF0000"/>
                                <w:w w:val="75"/>
                                <w:sz w:val="80"/>
                              </w:rPr>
                              <w:t>国家开发银行河南省分行</w:t>
                            </w:r>
                          </w:p>
                        </w:txbxContent>
                      </wps:txbx>
                      <wps:bodyPr wrap="square" upright="1"/>
                    </wps:wsp>
                  </a:graphicData>
                </a:graphic>
              </wp:anchor>
            </w:drawing>
          </mc:Choice>
          <mc:Fallback>
            <w:pict>
              <v:rect id="矩形 27" o:spid="_x0000_s1026" o:spt="1" style="position:absolute;left:0pt;margin-left:21.55pt;margin-top:17pt;height:164.9pt;width:412.5pt;z-index:-251657216;mso-width-relative:page;mso-height-relative:page;" fillcolor="#FFFFFF" filled="t" stroked="t" coordsize="21600,21600" o:gfxdata="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3xAVLWAAAACQEAAA8AAAAAAAAAAQAgAAAAIgAA&#10;AGRycy9kb3ducmV2LnhtbFBLAQIUABQAAAAIAIdO4kD4tppICgIAADkEAAAOAAAAAAAAAAEAIAAA&#10;ACUBAABkcnMvZTJvRG9jLnhtbFBLBQYAAAAABgAGAFkBAAChBQAAAAA=&#10;">
                <v:fill on="t" focussize="0,0"/>
                <v:stroke color="#FFFFFF" joinstyle="miter"/>
                <v:imagedata o:title=""/>
                <o:lock v:ext="edit" aspectratio="f"/>
                <v:textbox>
                  <w:txbxContent>
                    <w:p>
                      <w:pPr>
                        <w:snapToGrid w:val="0"/>
                        <w:spacing w:line="1020" w:lineRule="exact"/>
                        <w:jc w:val="distribute"/>
                        <w:rPr>
                          <w:rFonts w:hint="eastAsia" w:eastAsia="方正小标宋简体"/>
                          <w:color w:val="FF0000"/>
                          <w:w w:val="75"/>
                          <w:sz w:val="80"/>
                        </w:rPr>
                      </w:pPr>
                      <w:r>
                        <w:rPr>
                          <w:rFonts w:hint="eastAsia" w:eastAsia="方正小标宋简体"/>
                          <w:color w:val="FF0000"/>
                          <w:w w:val="75"/>
                          <w:sz w:val="80"/>
                        </w:rPr>
                        <w:t>河南省教育厅</w:t>
                      </w:r>
                    </w:p>
                    <w:p>
                      <w:pPr>
                        <w:snapToGrid w:val="0"/>
                        <w:spacing w:line="1020" w:lineRule="exact"/>
                        <w:jc w:val="distribute"/>
                        <w:rPr>
                          <w:rFonts w:hint="eastAsia" w:eastAsia="方正小标宋简体"/>
                          <w:color w:val="FF0000"/>
                          <w:w w:val="75"/>
                          <w:sz w:val="80"/>
                        </w:rPr>
                      </w:pPr>
                      <w:r>
                        <w:rPr>
                          <w:rFonts w:hint="eastAsia" w:eastAsia="方正小标宋简体"/>
                          <w:color w:val="FF0000"/>
                          <w:w w:val="75"/>
                          <w:sz w:val="80"/>
                        </w:rPr>
                        <w:t>国家开发银行河南省分行</w:t>
                      </w:r>
                    </w:p>
                  </w:txbxContent>
                </v:textbox>
              </v:rect>
            </w:pict>
          </mc:Fallback>
        </mc:AlternateContent>
      </w:r>
    </w:p>
    <w:p>
      <w:pPr>
        <w:rPr>
          <w:rStyle w:val="20"/>
          <w:rFonts w:hint="eastAsia" w:ascii="仿宋_GB2312" w:hAnsi="仿宋"/>
          <w:kern w:val="0"/>
        </w:rPr>
      </w:pPr>
    </w:p>
    <w:p>
      <w:pPr>
        <w:rPr>
          <w:rStyle w:val="20"/>
          <w:rFonts w:hint="eastAsia" w:ascii="仿宋_GB2312" w:hAnsi="仿宋"/>
          <w:kern w:val="0"/>
        </w:rPr>
      </w:pPr>
    </w:p>
    <w:p>
      <w:pPr>
        <w:rPr>
          <w:rStyle w:val="20"/>
          <w:rFonts w:hint="eastAsia" w:ascii="仿宋_GB2312" w:hAnsi="仿宋"/>
          <w:kern w:val="0"/>
        </w:rPr>
      </w:pPr>
    </w:p>
    <w:p>
      <w:pPr>
        <w:widowControl w:val="0"/>
        <w:snapToGrid w:val="0"/>
        <w:rPr>
          <w:rStyle w:val="20"/>
          <w:rFonts w:hint="eastAsia" w:ascii="仿宋_GB2312" w:hAnsi="仿宋"/>
          <w:kern w:val="0"/>
        </w:rPr>
      </w:pPr>
    </w:p>
    <w:p>
      <w:pPr>
        <w:rPr>
          <w:rStyle w:val="20"/>
          <w:rFonts w:hint="eastAsia" w:ascii="仿宋_GB2312" w:hAnsi="仿宋"/>
          <w:kern w:val="0"/>
        </w:rPr>
      </w:pPr>
    </w:p>
    <w:p>
      <w:pPr>
        <w:jc w:val="center"/>
        <w:rPr>
          <w:rStyle w:val="20"/>
          <w:rFonts w:hint="eastAsia" w:ascii="仿宋_GB2312" w:hAnsi="仿宋"/>
          <w:kern w:val="0"/>
          <w:sz w:val="32"/>
          <w:szCs w:val="32"/>
        </w:rPr>
      </w:pPr>
      <w:r>
        <w:rPr>
          <w:rStyle w:val="20"/>
          <w:rFonts w:hint="eastAsia" w:ascii="仿宋_GB2312" w:hAnsi="仿宋"/>
          <w:kern w:val="0"/>
          <w:sz w:val="32"/>
          <w:szCs w:val="32"/>
        </w:rPr>
        <w:t>教资助〔2022〕201号</w:t>
      </w:r>
    </w:p>
    <w:p>
      <w:pPr>
        <w:jc w:val="center"/>
        <w:rPr>
          <w:rStyle w:val="20"/>
          <w:rFonts w:hint="eastAsia" w:ascii="仿宋_GB2312" w:hAnsi="仿宋"/>
          <w:kern w:val="0"/>
        </w:rPr>
      </w:pPr>
      <w:r>
        <w:rPr>
          <w:rFonts w:hint="eastAsia" w:ascii="仿宋_GB2312" w:hAnsi="仿宋"/>
          <w:kern w:val="0"/>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84455</wp:posOffset>
                </wp:positionV>
                <wp:extent cx="5610225" cy="0"/>
                <wp:effectExtent l="0" t="0" r="0" b="0"/>
                <wp:wrapNone/>
                <wp:docPr id="3" name="直线 28"/>
                <wp:cNvGraphicFramePr/>
                <a:graphic xmlns:a="http://schemas.openxmlformats.org/drawingml/2006/main">
                  <a:graphicData uri="http://schemas.microsoft.com/office/word/2010/wordprocessingShape">
                    <wps:wsp>
                      <wps:cNvSpPr/>
                      <wps:spPr>
                        <a:xfrm>
                          <a:off x="0" y="0"/>
                          <a:ext cx="5610225"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6.5pt;margin-top:6.65pt;height:0pt;width:441.75pt;z-index:251661312;mso-width-relative:page;mso-height-relative:page;" filled="f" stroked="t" coordsize="21600,21600" o:gfxdata="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0dck&#10;1wAAAAkBAAAPAAAAAAAAAAEAIAAAACIAAABkcnMvZG93bnJldi54bWxQSwECFAAUAAAACACHTuJA&#10;8bHPdOkBAADcAwAADgAAAAAAAAABACAAAAAmAQAAZHJzL2Uyb0RvYy54bWxQSwUGAAAAAAYABgBZ&#10;AQAAgQUAAAAA&#10;">
                <v:fill on="f" focussize="0,0"/>
                <v:stroke color="#FF0000" joinstyle="round"/>
                <v:imagedata o:title=""/>
                <o:lock v:ext="edit" aspectratio="f"/>
              </v:line>
            </w:pict>
          </mc:Fallback>
        </mc:AlternateContent>
      </w:r>
    </w:p>
    <w:p>
      <w:pPr>
        <w:jc w:val="center"/>
        <w:rPr>
          <w:rStyle w:val="20"/>
          <w:rFonts w:hint="eastAsia" w:ascii="仿宋_GB2312" w:hAnsi="仿宋"/>
          <w:kern w:val="0"/>
        </w:rPr>
      </w:pPr>
    </w:p>
    <w:p>
      <w:pPr>
        <w:widowControl w:val="0"/>
        <w:snapToGrid w:val="0"/>
        <w:jc w:val="center"/>
        <w:rPr>
          <w:rStyle w:val="20"/>
          <w:rFonts w:ascii="方正小标宋简体" w:hAnsi="仿宋" w:eastAsia="方正小标宋简体" w:cs="宋体"/>
          <w:bCs/>
          <w:kern w:val="36"/>
          <w:sz w:val="44"/>
          <w:szCs w:val="44"/>
        </w:rPr>
      </w:pPr>
      <w:r>
        <w:rPr>
          <w:rStyle w:val="20"/>
          <w:rFonts w:ascii="方正小标宋简体" w:hAnsi="仿宋" w:eastAsia="方正小标宋简体" w:cs="宋体"/>
          <w:bCs/>
          <w:kern w:val="36"/>
          <w:sz w:val="44"/>
          <w:szCs w:val="44"/>
        </w:rPr>
        <w:t>河南省教育厅  国家开发银行河南省分行</w:t>
      </w:r>
    </w:p>
    <w:p>
      <w:pPr>
        <w:widowControl w:val="0"/>
        <w:snapToGrid w:val="0"/>
        <w:jc w:val="center"/>
        <w:rPr>
          <w:rStyle w:val="20"/>
          <w:rFonts w:ascii="方正小标宋简体" w:hAnsi="仿宋" w:eastAsia="方正小标宋简体" w:cs="宋体"/>
          <w:bCs/>
          <w:kern w:val="36"/>
          <w:sz w:val="44"/>
          <w:szCs w:val="44"/>
        </w:rPr>
      </w:pPr>
      <w:r>
        <w:rPr>
          <w:rStyle w:val="20"/>
          <w:rFonts w:ascii="方正小标宋简体" w:hAnsi="仿宋" w:eastAsia="方正小标宋简体" w:cs="宋体"/>
          <w:bCs/>
          <w:kern w:val="36"/>
          <w:sz w:val="44"/>
          <w:szCs w:val="44"/>
        </w:rPr>
        <w:t>关于切实做好2022年生源地信用助学贷款</w:t>
      </w:r>
    </w:p>
    <w:p>
      <w:pPr>
        <w:widowControl w:val="0"/>
        <w:snapToGrid w:val="0"/>
        <w:jc w:val="center"/>
        <w:rPr>
          <w:rStyle w:val="20"/>
          <w:rFonts w:ascii="方正小标宋简体" w:hAnsi="仿宋" w:eastAsia="方正小标宋简体" w:cs="宋体"/>
          <w:bCs/>
          <w:kern w:val="36"/>
          <w:sz w:val="44"/>
          <w:szCs w:val="44"/>
        </w:rPr>
      </w:pPr>
      <w:r>
        <w:rPr>
          <w:rStyle w:val="20"/>
          <w:rFonts w:ascii="方正小标宋简体" w:hAnsi="仿宋" w:eastAsia="方正小标宋简体" w:cs="宋体"/>
          <w:bCs/>
          <w:kern w:val="36"/>
          <w:sz w:val="44"/>
          <w:szCs w:val="44"/>
        </w:rPr>
        <w:t>工作的通知</w:t>
      </w:r>
    </w:p>
    <w:p>
      <w:pPr>
        <w:widowControl w:val="0"/>
        <w:ind w:firstLine="640" w:firstLineChars="200"/>
        <w:rPr>
          <w:rFonts w:hint="eastAsia" w:ascii="仿宋_GB2312"/>
          <w:sz w:val="32"/>
          <w:szCs w:val="32"/>
        </w:rPr>
      </w:pPr>
    </w:p>
    <w:p>
      <w:pPr>
        <w:widowControl w:val="0"/>
        <w:rPr>
          <w:rFonts w:hint="eastAsia" w:ascii="仿宋_GB2312"/>
          <w:spacing w:val="-10"/>
          <w:sz w:val="32"/>
          <w:szCs w:val="32"/>
        </w:rPr>
      </w:pPr>
      <w:r>
        <w:rPr>
          <w:rFonts w:hint="eastAsia" w:ascii="仿宋_GB2312"/>
          <w:spacing w:val="-10"/>
          <w:sz w:val="32"/>
          <w:szCs w:val="32"/>
        </w:rPr>
        <w:t>各省辖市、济源示范区、省财政直管县（市）教育局，各高等学校、省属普通高中、省属中等职业学校：</w:t>
      </w:r>
    </w:p>
    <w:p>
      <w:pPr>
        <w:widowControl w:val="0"/>
        <w:ind w:firstLine="640" w:firstLineChars="200"/>
        <w:rPr>
          <w:rFonts w:hint="eastAsia" w:ascii="仿宋_GB2312"/>
          <w:sz w:val="32"/>
          <w:szCs w:val="32"/>
        </w:rPr>
      </w:pPr>
      <w:r>
        <w:rPr>
          <w:rFonts w:hint="eastAsia" w:ascii="仿宋_GB2312"/>
          <w:sz w:val="32"/>
          <w:szCs w:val="32"/>
        </w:rPr>
        <w:t>为深入贯彻习近平新时代中国特色社会主义思想，落实党的教育方针，继续加大国家助学贷款工作力度，</w:t>
      </w:r>
      <w:r>
        <w:rPr>
          <w:rFonts w:hint="eastAsia" w:ascii="仿宋_GB2312" w:hAnsi="仿宋" w:cs="仿宋"/>
          <w:sz w:val="32"/>
          <w:szCs w:val="32"/>
          <w:shd w:val="clear" w:color="auto" w:fill="FFFFFF"/>
        </w:rPr>
        <w:t>深化与国家开发银行的合作管理机制，加快推动学生资助工作高质量发展</w:t>
      </w:r>
      <w:r>
        <w:rPr>
          <w:rFonts w:hint="eastAsia" w:ascii="仿宋_GB2312"/>
          <w:sz w:val="32"/>
          <w:szCs w:val="32"/>
        </w:rPr>
        <w:t>，根据国家及我省生源地信用助学贷款有关政策规定，现就切实做好2022年生源地信用助学贷款工作通知如下：</w:t>
      </w:r>
    </w:p>
    <w:p>
      <w:pPr>
        <w:widowControl w:val="0"/>
        <w:ind w:firstLine="640" w:firstLineChars="200"/>
        <w:rPr>
          <w:rFonts w:hint="eastAsia" w:ascii="黑体" w:hAnsi="黑体" w:eastAsia="黑体"/>
          <w:sz w:val="32"/>
          <w:szCs w:val="32"/>
        </w:rPr>
      </w:pPr>
      <w:r>
        <w:rPr>
          <w:rFonts w:hint="eastAsia" w:ascii="黑体" w:hAnsi="黑体" w:eastAsia="黑体"/>
          <w:sz w:val="32"/>
          <w:szCs w:val="32"/>
        </w:rPr>
        <w:t>一、贷款政策</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（一）贷款范围</w:t>
      </w:r>
    </w:p>
    <w:p>
      <w:pPr>
        <w:widowControl w:val="0"/>
        <w:ind w:firstLine="640" w:firstLineChars="200"/>
        <w:rPr>
          <w:rFonts w:hint="eastAsia" w:ascii="仿宋_GB2312"/>
          <w:kern w:val="0"/>
          <w:sz w:val="32"/>
          <w:szCs w:val="32"/>
        </w:rPr>
      </w:pPr>
      <w:r>
        <w:rPr>
          <w:rFonts w:hint="eastAsia" w:ascii="仿宋_GB2312"/>
          <w:kern w:val="0"/>
          <w:sz w:val="32"/>
          <w:szCs w:val="32"/>
        </w:rPr>
        <w:t>被根据国家有关规定批准设立、实施高等学历教育的全日制普通本科高校、高等职业学校和高等专科学校（含民办高校和独立学院）、科研院所、党校、行政学院、会计学院（学校名单以教育部公布的为准）正式录取，取得真实、合法、有效的录取通知书的河南籍新生（含预科生）和河南籍在高校就读的本专科学生、研究生（含硕士研究生和博士研究生）和第二学士学生，可申请生源地信用助学贷款。</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（二）申请条件</w:t>
      </w:r>
    </w:p>
    <w:p>
      <w:pPr>
        <w:widowControl w:val="0"/>
        <w:ind w:firstLine="640" w:firstLineChars="200"/>
        <w:rPr>
          <w:rFonts w:hint="eastAsia" w:ascii="仿宋_GB2312"/>
          <w:b/>
          <w:sz w:val="32"/>
          <w:szCs w:val="32"/>
        </w:rPr>
      </w:pPr>
      <w:r>
        <w:rPr>
          <w:rFonts w:hint="eastAsia" w:ascii="仿宋_GB2312"/>
          <w:b/>
          <w:sz w:val="32"/>
          <w:szCs w:val="32"/>
        </w:rPr>
        <w:t>1.申请生源地信用助学贷款的学生必须同时符合以下条件</w:t>
      </w:r>
    </w:p>
    <w:p>
      <w:pPr>
        <w:widowControl w:val="0"/>
        <w:ind w:firstLine="640" w:firstLineChars="200"/>
        <w:rPr>
          <w:rFonts w:hint="eastAsia" w:ascii="仿宋_GB2312"/>
          <w:sz w:val="32"/>
          <w:szCs w:val="32"/>
        </w:rPr>
      </w:pPr>
      <w:r>
        <w:rPr>
          <w:rFonts w:hint="eastAsia" w:ascii="仿宋_GB2312"/>
          <w:sz w:val="32"/>
          <w:szCs w:val="32"/>
        </w:rPr>
        <w:t>（1）具有中华人民共和国国籍；</w:t>
      </w:r>
    </w:p>
    <w:p>
      <w:pPr>
        <w:widowControl w:val="0"/>
        <w:ind w:firstLine="640" w:firstLineChars="200"/>
        <w:rPr>
          <w:rFonts w:hint="eastAsia" w:ascii="仿宋_GB2312"/>
          <w:sz w:val="32"/>
          <w:szCs w:val="32"/>
        </w:rPr>
      </w:pPr>
      <w:r>
        <w:rPr>
          <w:rFonts w:hint="eastAsia" w:ascii="仿宋_GB2312"/>
          <w:sz w:val="32"/>
          <w:szCs w:val="32"/>
        </w:rPr>
        <w:t>（2）被根据国家有关规定批准设立、实施高等学历教育的全日制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含硕士研究生和博士研究生）和第二学士学生；</w:t>
      </w:r>
    </w:p>
    <w:p>
      <w:pPr>
        <w:widowControl w:val="0"/>
        <w:ind w:firstLine="640" w:firstLineChars="200"/>
        <w:rPr>
          <w:rFonts w:hint="eastAsia" w:ascii="仿宋_GB2312"/>
          <w:sz w:val="32"/>
          <w:szCs w:val="32"/>
        </w:rPr>
      </w:pPr>
      <w:r>
        <w:rPr>
          <w:rFonts w:hint="eastAsia" w:ascii="仿宋_GB2312"/>
          <w:sz w:val="32"/>
          <w:szCs w:val="32"/>
        </w:rPr>
        <w:t>（3）学生本人入学前户籍、其共同借款人户籍原则上均在本县（市、区）；</w:t>
      </w:r>
    </w:p>
    <w:p>
      <w:pPr>
        <w:widowControl w:val="0"/>
        <w:ind w:firstLine="640" w:firstLineChars="200"/>
        <w:rPr>
          <w:rFonts w:hint="eastAsia" w:ascii="仿宋_GB2312"/>
          <w:sz w:val="32"/>
          <w:szCs w:val="32"/>
        </w:rPr>
      </w:pPr>
      <w:r>
        <w:rPr>
          <w:rFonts w:hint="eastAsia" w:ascii="仿宋_GB2312"/>
          <w:sz w:val="32"/>
          <w:szCs w:val="32"/>
        </w:rPr>
        <w:t>（4）诚实守信，遵纪守法；</w:t>
      </w:r>
    </w:p>
    <w:p>
      <w:pPr>
        <w:widowControl w:val="0"/>
        <w:ind w:firstLine="640" w:firstLineChars="200"/>
        <w:rPr>
          <w:rFonts w:hint="eastAsia" w:ascii="仿宋_GB2312"/>
          <w:sz w:val="32"/>
          <w:szCs w:val="32"/>
        </w:rPr>
      </w:pPr>
      <w:r>
        <w:rPr>
          <w:rFonts w:hint="eastAsia" w:ascii="仿宋_GB2312"/>
          <w:sz w:val="32"/>
          <w:szCs w:val="32"/>
        </w:rPr>
        <w:t>（5）家庭经济困难，家庭所能获得收入不足以支持学生在校期间完成学业所需的基本费用；</w:t>
      </w:r>
    </w:p>
    <w:p>
      <w:pPr>
        <w:widowControl w:val="0"/>
        <w:ind w:firstLine="640" w:firstLineChars="200"/>
        <w:rPr>
          <w:rFonts w:hint="eastAsia" w:ascii="仿宋_GB2312"/>
          <w:sz w:val="32"/>
          <w:szCs w:val="32"/>
        </w:rPr>
      </w:pPr>
      <w:r>
        <w:rPr>
          <w:rFonts w:hint="eastAsia" w:ascii="仿宋_GB2312"/>
          <w:sz w:val="32"/>
          <w:szCs w:val="32"/>
        </w:rPr>
        <w:t>（6）当年没有获得其他国家助学贷款。</w:t>
      </w:r>
    </w:p>
    <w:p>
      <w:pPr>
        <w:widowControl w:val="0"/>
        <w:ind w:firstLine="640" w:firstLineChars="200"/>
        <w:rPr>
          <w:rFonts w:hint="eastAsia" w:ascii="仿宋_GB2312"/>
          <w:b/>
          <w:sz w:val="32"/>
          <w:szCs w:val="32"/>
        </w:rPr>
      </w:pPr>
      <w:r>
        <w:rPr>
          <w:rFonts w:hint="eastAsia" w:ascii="仿宋_GB2312"/>
          <w:b/>
          <w:sz w:val="32"/>
          <w:szCs w:val="32"/>
        </w:rPr>
        <w:t>2.共同借款人需满足以下条件</w:t>
      </w:r>
    </w:p>
    <w:p>
      <w:pPr>
        <w:widowControl w:val="0"/>
        <w:ind w:firstLine="640" w:firstLineChars="200"/>
        <w:rPr>
          <w:rFonts w:hint="eastAsia" w:ascii="仿宋_GB2312"/>
          <w:sz w:val="32"/>
          <w:szCs w:val="32"/>
        </w:rPr>
      </w:pPr>
      <w:r>
        <w:rPr>
          <w:rFonts w:hint="eastAsia" w:ascii="仿宋_GB2312"/>
          <w:sz w:val="32"/>
          <w:szCs w:val="32"/>
        </w:rPr>
        <w:t>（1）原则上应为借款学生的父母；</w:t>
      </w:r>
    </w:p>
    <w:p>
      <w:pPr>
        <w:widowControl w:val="0"/>
        <w:ind w:firstLine="640" w:firstLineChars="200"/>
        <w:rPr>
          <w:rFonts w:hint="eastAsia" w:ascii="仿宋_GB2312"/>
          <w:sz w:val="32"/>
          <w:szCs w:val="32"/>
        </w:rPr>
      </w:pPr>
      <w:r>
        <w:rPr>
          <w:rFonts w:hint="eastAsia" w:ascii="仿宋_GB2312"/>
          <w:sz w:val="32"/>
          <w:szCs w:val="32"/>
        </w:rPr>
        <w:t>（2）如借款学生父母由于残疾、患病等特殊情况丧失劳动能力或民事行为能力的，可由借款学生其他近亲属作为共同借款人；</w:t>
      </w:r>
    </w:p>
    <w:p>
      <w:pPr>
        <w:widowControl w:val="0"/>
        <w:ind w:firstLine="640" w:firstLineChars="200"/>
        <w:rPr>
          <w:rFonts w:hint="eastAsia" w:ascii="仿宋_GB2312"/>
          <w:sz w:val="32"/>
          <w:szCs w:val="32"/>
        </w:rPr>
      </w:pPr>
      <w:r>
        <w:rPr>
          <w:rFonts w:hint="eastAsia" w:ascii="仿宋_GB2312"/>
          <w:sz w:val="32"/>
          <w:szCs w:val="32"/>
        </w:rPr>
        <w:t>（3）如</w:t>
      </w:r>
      <w:r>
        <w:rPr>
          <w:rFonts w:hint="eastAsia" w:ascii="仿宋_GB2312"/>
          <w:spacing w:val="-8"/>
          <w:sz w:val="32"/>
          <w:szCs w:val="32"/>
        </w:rPr>
        <w:t>借款学生为孤儿，共同借款人则为其监护人，或是自愿与借款学生共同承担还款责任的具备完全民事行为能力的自然人；</w:t>
      </w:r>
    </w:p>
    <w:p>
      <w:pPr>
        <w:widowControl w:val="0"/>
        <w:ind w:firstLine="640" w:firstLineChars="200"/>
        <w:rPr>
          <w:rFonts w:hint="eastAsia" w:ascii="仿宋_GB2312"/>
          <w:sz w:val="32"/>
          <w:szCs w:val="32"/>
        </w:rPr>
      </w:pPr>
      <w:r>
        <w:rPr>
          <w:rFonts w:hint="eastAsia" w:ascii="仿宋_GB2312"/>
          <w:sz w:val="32"/>
          <w:szCs w:val="32"/>
        </w:rPr>
        <w:t>（4）如共同借款人不是学生父母或其监护人时，应为满18周岁具有完全民事行为能力的自然人；</w:t>
      </w:r>
    </w:p>
    <w:p>
      <w:pPr>
        <w:widowControl w:val="0"/>
        <w:ind w:firstLine="640" w:firstLineChars="200"/>
        <w:rPr>
          <w:rFonts w:hint="eastAsia" w:ascii="仿宋_GB2312"/>
          <w:sz w:val="32"/>
          <w:szCs w:val="32"/>
        </w:rPr>
      </w:pPr>
      <w:r>
        <w:rPr>
          <w:rFonts w:hint="eastAsia" w:ascii="仿宋_GB2312"/>
          <w:sz w:val="32"/>
          <w:szCs w:val="32"/>
        </w:rPr>
        <w:t>（5）</w:t>
      </w:r>
      <w:r>
        <w:rPr>
          <w:rFonts w:hint="eastAsia" w:ascii="仿宋_GB2312"/>
          <w:spacing w:val="-12"/>
          <w:sz w:val="32"/>
          <w:szCs w:val="32"/>
        </w:rPr>
        <w:t>学生本人入学前户籍、其共同借款人户籍均在本县（市、区）；</w:t>
      </w:r>
    </w:p>
    <w:p>
      <w:pPr>
        <w:widowControl w:val="0"/>
        <w:ind w:firstLine="640" w:firstLineChars="200"/>
        <w:rPr>
          <w:rFonts w:hint="eastAsia" w:ascii="仿宋_GB2312"/>
          <w:sz w:val="32"/>
          <w:szCs w:val="32"/>
        </w:rPr>
      </w:pPr>
      <w:r>
        <w:rPr>
          <w:rFonts w:hint="eastAsia" w:ascii="仿宋_GB2312"/>
          <w:sz w:val="32"/>
          <w:szCs w:val="32"/>
        </w:rPr>
        <w:t>（6）未结清国家开发银行生源地信用助学贷款（或高校助学贷款）的借款学生不能作为其他借款学生的共同借款人。</w:t>
      </w:r>
    </w:p>
    <w:p>
      <w:pPr>
        <w:widowControl w:val="0"/>
        <w:ind w:firstLine="640" w:firstLineChars="200"/>
        <w:rPr>
          <w:rFonts w:hint="eastAsia" w:ascii="仿宋_GB2312"/>
          <w:sz w:val="32"/>
          <w:szCs w:val="32"/>
        </w:rPr>
      </w:pPr>
      <w:r>
        <w:rPr>
          <w:rFonts w:hint="eastAsia" w:ascii="仿宋_GB2312"/>
          <w:sz w:val="32"/>
          <w:szCs w:val="32"/>
        </w:rPr>
        <w:t>（7）如借款学生申请助学贷款时未满16周岁，共同借款人应为其监护人。此种情况下，办理贷款时需要提供相互监护关系的证明材料。如借款学生与其监护人户籍不在同一县（市、区），应在学生户籍所在县级学生资助中心办理。</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（三）贷款额度</w:t>
      </w:r>
    </w:p>
    <w:p>
      <w:pPr>
        <w:widowControl w:val="0"/>
        <w:ind w:firstLine="640" w:firstLineChars="200"/>
        <w:rPr>
          <w:rFonts w:hint="eastAsia" w:ascii="仿宋_GB2312"/>
          <w:sz w:val="32"/>
          <w:szCs w:val="32"/>
        </w:rPr>
      </w:pPr>
      <w:r>
        <w:rPr>
          <w:rFonts w:hint="eastAsia" w:ascii="仿宋_GB2312"/>
          <w:sz w:val="32"/>
          <w:szCs w:val="32"/>
        </w:rPr>
        <w:t>全日制普通本专科学生（含第二学士学位、高职学生、预科学生）每人每年申请贷款额度不超过12000元，不低于1000元，全日制研究生（含硕士研究生、博士研究生）每人每年申请贷款额度不超过16000元，不低于1000元。学生申请的国家助学贷款优先用于支付在校期间学费和住宿费，超出部分可用于弥补日常生活费。学生应根据实际情况本着勤俭节约、努力向学、学以致用原则，申请国家助学贷款额度。全日制普通本专科学生在同一学年内不得重复申请获得校园地国家助学贷款和生源地信用助学贷款，只能选择申请办理其中一种贷款；全日制研究生原则上申请办理校园地国家助学贷款，如高校不予办理，可通过生源地信用助学贷款予以兜底。</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（四）贷款期限</w:t>
      </w:r>
    </w:p>
    <w:p>
      <w:pPr>
        <w:widowControl w:val="0"/>
        <w:ind w:firstLine="640" w:firstLineChars="200"/>
        <w:rPr>
          <w:rFonts w:hint="eastAsia" w:ascii="仿宋_GB2312"/>
          <w:sz w:val="32"/>
          <w:szCs w:val="32"/>
        </w:rPr>
      </w:pPr>
      <w:r>
        <w:rPr>
          <w:rFonts w:hint="eastAsia" w:ascii="仿宋_GB2312"/>
          <w:sz w:val="32"/>
          <w:szCs w:val="32"/>
        </w:rPr>
        <w:t>生源地信用助学贷款期限为剩余学制加15年，最长不超过22年。生源地信用助学贷款不展期。</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（五）贷款还本宽限期</w:t>
      </w:r>
    </w:p>
    <w:p>
      <w:pPr>
        <w:widowControl w:val="0"/>
        <w:ind w:firstLine="640" w:firstLineChars="200"/>
        <w:rPr>
          <w:rFonts w:hint="eastAsia" w:ascii="仿宋_GB2312"/>
          <w:sz w:val="32"/>
          <w:szCs w:val="32"/>
        </w:rPr>
      </w:pPr>
      <w:r>
        <w:rPr>
          <w:rFonts w:hint="eastAsia" w:ascii="仿宋_GB2312"/>
          <w:sz w:val="32"/>
          <w:szCs w:val="32"/>
        </w:rPr>
        <w:t>借款学生毕业后不再继续攻读学位时，在5年还本宽限期内只需偿还利息。如毕业后剩余贷款年限小于5年则按《借款合同》约定的还款计划还款。</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（六）贷款利率</w:t>
      </w:r>
    </w:p>
    <w:p>
      <w:pPr>
        <w:widowControl w:val="0"/>
        <w:ind w:firstLine="640" w:firstLineChars="200"/>
        <w:rPr>
          <w:rFonts w:hint="eastAsia" w:ascii="仿宋_GB2312"/>
          <w:sz w:val="32"/>
          <w:szCs w:val="32"/>
        </w:rPr>
      </w:pPr>
      <w:r>
        <w:rPr>
          <w:rFonts w:hint="eastAsia" w:ascii="仿宋_GB2312"/>
          <w:sz w:val="32"/>
          <w:szCs w:val="32"/>
        </w:rPr>
        <w:t>生源地信用助学贷款利率执行中国人民银行授权全国银行间同业拆借中心发布的同期五年期以上贷款市场报价利率LPR5Y减30个基点（即LPR5Y减0.3%）。每年12月21日根据最新LPR5Y调整一次。</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（七）贷款利息</w:t>
      </w:r>
    </w:p>
    <w:p>
      <w:pPr>
        <w:widowControl w:val="0"/>
        <w:ind w:firstLine="640" w:firstLineChars="200"/>
        <w:rPr>
          <w:rFonts w:hint="eastAsia" w:ascii="仿宋_GB2312"/>
          <w:sz w:val="32"/>
          <w:szCs w:val="32"/>
          <w:lang w:val="en"/>
        </w:rPr>
      </w:pPr>
      <w:r>
        <w:rPr>
          <w:rFonts w:hint="eastAsia" w:ascii="仿宋_GB2312"/>
          <w:sz w:val="32"/>
          <w:szCs w:val="32"/>
        </w:rPr>
        <w:t>生源地信用助学贷款利息按年计收。借款学生在读期间的贷款利息由财政全额补贴。借款学生毕业后，在还款期内继续攻读学位的，可申请继续贴息，但应及时向县级学生资助中心提供书面证明，经审核后，报国家开发银行河南省分行确认。继续攻读学位期间发生的贷款利息，由原贴息财政部门继续全额贴息。借款学生在校期间因患病等原因休学的，应向县级学生资助中心提供书面证明，由县级学生资助中心向国家开发银行河南省分行提出申请，休学期间的贷款利息由财政全额贴息。</w:t>
      </w:r>
    </w:p>
    <w:p>
      <w:pPr>
        <w:widowControl w:val="0"/>
        <w:ind w:firstLine="640" w:firstLineChars="200"/>
        <w:rPr>
          <w:rFonts w:hint="eastAsia" w:ascii="黑体" w:hAnsi="黑体" w:eastAsia="黑体"/>
          <w:sz w:val="32"/>
          <w:szCs w:val="32"/>
        </w:rPr>
      </w:pPr>
      <w:r>
        <w:rPr>
          <w:rFonts w:hint="eastAsia" w:ascii="黑体" w:hAnsi="黑体" w:eastAsia="黑体"/>
          <w:sz w:val="32"/>
          <w:szCs w:val="32"/>
        </w:rPr>
        <w:t>二、工作安排</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（一）贷款受理前的有关工作</w:t>
      </w:r>
    </w:p>
    <w:p>
      <w:pPr>
        <w:widowControl w:val="0"/>
        <w:ind w:firstLine="640" w:firstLineChars="200"/>
        <w:rPr>
          <w:rFonts w:hint="eastAsia" w:ascii="仿宋_GB2312"/>
          <w:b/>
          <w:sz w:val="32"/>
          <w:szCs w:val="32"/>
        </w:rPr>
      </w:pPr>
      <w:r>
        <w:rPr>
          <w:rFonts w:hint="eastAsia" w:ascii="仿宋_GB2312"/>
          <w:b/>
          <w:sz w:val="32"/>
          <w:szCs w:val="32"/>
        </w:rPr>
        <w:t>1.宣传咨询工作</w:t>
      </w:r>
    </w:p>
    <w:p>
      <w:pPr>
        <w:widowControl w:val="0"/>
        <w:ind w:firstLine="640" w:firstLineChars="200"/>
        <w:rPr>
          <w:rFonts w:hint="eastAsia" w:ascii="仿宋_GB2312"/>
          <w:sz w:val="32"/>
          <w:szCs w:val="32"/>
        </w:rPr>
      </w:pPr>
      <w:r>
        <w:rPr>
          <w:rFonts w:hint="eastAsia" w:ascii="仿宋_GB2312"/>
          <w:sz w:val="32"/>
          <w:szCs w:val="32"/>
        </w:rPr>
        <w:t>各市、县级学生资助中心要做好国家资助政策宣传解读工作，提升宣传工作的针对性、有效性，确保学生和家长都能够及时、全面、准确、便捷地获知政策。</w:t>
      </w:r>
      <w:r>
        <w:rPr>
          <w:rFonts w:hint="eastAsia" w:ascii="仿宋_GB2312"/>
          <w:bCs/>
          <w:sz w:val="32"/>
          <w:szCs w:val="32"/>
        </w:rPr>
        <w:t>一是重点加强高中阶段政策宣传。</w:t>
      </w:r>
      <w:r>
        <w:rPr>
          <w:rFonts w:hint="eastAsia" w:ascii="仿宋_GB2312"/>
          <w:sz w:val="32"/>
          <w:szCs w:val="32"/>
        </w:rPr>
        <w:t>要组织所属各高中阶段学校面向毕业班学生和家长，开展学生资助政策及助学贷款办理的宣传和政策解读，内容包括高校学生资助政策介绍、生源地信用助学贷款政策介绍及办理流程、家庭经济困难学生申请表中“个人承诺”对应的义务与责任、教育部“给高中学生一封信”解读等。</w:t>
      </w:r>
      <w:r>
        <w:rPr>
          <w:rFonts w:hint="eastAsia" w:ascii="仿宋_GB2312"/>
          <w:bCs/>
          <w:sz w:val="32"/>
          <w:szCs w:val="32"/>
        </w:rPr>
        <w:t>二是聚焦宣传国家助学贷款新政策。</w:t>
      </w:r>
      <w:r>
        <w:rPr>
          <w:rFonts w:hint="eastAsia" w:ascii="仿宋_GB2312"/>
          <w:sz w:val="32"/>
          <w:szCs w:val="32"/>
        </w:rPr>
        <w:t>重点向家庭经济困难学生宣传国家助学贷款最高额度提高4000元，借款学生申请的国家助学贷款应优先用于支付在校期间学费和住宿费，超出部分可用于弥补日常生活费等内容。要密切关注应对新冠肺炎疫情影响出台的研究生招生和专升本规模扩大等相关举措的实施进展，有针对性的做好宣传工作。</w:t>
      </w:r>
      <w:r>
        <w:rPr>
          <w:rFonts w:hint="eastAsia" w:ascii="仿宋_GB2312"/>
          <w:bCs/>
          <w:sz w:val="32"/>
          <w:szCs w:val="32"/>
        </w:rPr>
        <w:t>三是抓住重点人群。</w:t>
      </w:r>
      <w:r>
        <w:rPr>
          <w:rFonts w:hint="eastAsia" w:ascii="仿宋_GB2312"/>
          <w:sz w:val="32"/>
          <w:szCs w:val="32"/>
        </w:rPr>
        <w:t>加大对农村尤其是偏远山区、库区宣传力度，特别是要加大对艰苦边远地区和农村家庭经济困难学生集中地区的宣传力度；既要向今年新入学的大学生宣传，也要向往年入学的在校大学生宣传；既要向学生宣传，也要向家长宣传。</w:t>
      </w:r>
      <w:r>
        <w:rPr>
          <w:rFonts w:hint="eastAsia" w:ascii="仿宋_GB2312"/>
          <w:bCs/>
          <w:sz w:val="32"/>
          <w:szCs w:val="32"/>
        </w:rPr>
        <w:t>四是丰富宣传手段。</w:t>
      </w:r>
      <w:r>
        <w:rPr>
          <w:rFonts w:hint="eastAsia" w:ascii="仿宋_GB2312"/>
          <w:sz w:val="32"/>
          <w:szCs w:val="32"/>
        </w:rPr>
        <w:t>要进一步拓展宣传方式，综合运用报刊杂志、广播、电视、条幅、展板、海报、彩页、热线电话等传统宣传途径,微信、微博、QQ、网站等新兴媒体加强国家助学贷款政策宣传，必要时开展走村入户、到班到人的政策宣传，做到政策宣传无死角、无盲区。</w:t>
      </w:r>
      <w:r>
        <w:rPr>
          <w:rFonts w:hint="eastAsia" w:ascii="仿宋_GB2312"/>
          <w:bCs/>
          <w:sz w:val="32"/>
          <w:szCs w:val="32"/>
        </w:rPr>
        <w:t>五是畅通咨询渠道。</w:t>
      </w:r>
      <w:r>
        <w:rPr>
          <w:rFonts w:hint="eastAsia" w:ascii="仿宋_GB2312"/>
          <w:sz w:val="32"/>
          <w:szCs w:val="32"/>
        </w:rPr>
        <w:t>要推广“中国学生资助”微信公众号和国家开发银行助学贷款服务热线95593，设立生源地信用助学贷款咨询热线电话，及时在国家开发银行生源地信用助学贷款信息管理系统里更新负责生源地信用助学贷款工作人员的相关信息，做好电话接听人员的业务培训工作，保证在工作时间畅通，确保服务质量，做到有问必答，有惑必解。做到学生对国家资助政策应知尽知，符合条件的借款学生应贷尽贷。</w:t>
      </w:r>
    </w:p>
    <w:p>
      <w:pPr>
        <w:widowControl w:val="0"/>
        <w:ind w:firstLine="640" w:firstLineChars="200"/>
        <w:rPr>
          <w:rFonts w:hint="eastAsia" w:ascii="仿宋_GB2312"/>
          <w:b/>
          <w:sz w:val="32"/>
          <w:szCs w:val="32"/>
        </w:rPr>
      </w:pPr>
      <w:r>
        <w:rPr>
          <w:rFonts w:hint="eastAsia" w:ascii="仿宋_GB2312"/>
          <w:b/>
          <w:sz w:val="32"/>
          <w:szCs w:val="32"/>
        </w:rPr>
        <w:t>2.更新数字证书和电子公章</w:t>
      </w:r>
    </w:p>
    <w:p>
      <w:pPr>
        <w:widowControl w:val="0"/>
        <w:ind w:firstLine="640" w:firstLineChars="200"/>
        <w:rPr>
          <w:rFonts w:hint="eastAsia" w:ascii="仿宋_GB2312"/>
          <w:sz w:val="32"/>
          <w:szCs w:val="32"/>
        </w:rPr>
      </w:pPr>
      <w:r>
        <w:rPr>
          <w:rFonts w:hint="eastAsia" w:ascii="仿宋_GB2312"/>
          <w:sz w:val="32"/>
          <w:szCs w:val="32"/>
        </w:rPr>
        <w:t>各县（市、区）学生资助中心，要认真核对电子公章的单位名称和印章编码，如发现与系统不符或更换印章则需要重新报送印模扫描件；更换法人的县级学生资助中心需要提供县级学生资助中心法人任命文件、法人证书和法人手签章扫描件。</w:t>
      </w:r>
    </w:p>
    <w:p>
      <w:pPr>
        <w:widowControl w:val="0"/>
        <w:ind w:firstLine="640" w:firstLineChars="200"/>
        <w:rPr>
          <w:rFonts w:hint="eastAsia" w:ascii="仿宋_GB2312"/>
          <w:sz w:val="32"/>
          <w:szCs w:val="32"/>
        </w:rPr>
      </w:pPr>
      <w:r>
        <w:rPr>
          <w:rFonts w:hint="eastAsia" w:ascii="仿宋_GB2312"/>
          <w:sz w:val="32"/>
          <w:szCs w:val="32"/>
        </w:rPr>
        <w:t>2022年我省有部分县级学生资助中心电子证书过期，更新电子证书需提供以下材料：机构证书申请表、委托授权书、县级学生资助中心事业单位法人证书、经办人身份证（正反面A4复印），若公章或签名章有变化另需提供县级学生资助中心公章印模、县级学生资助中心负责人手签章。</w:t>
      </w:r>
    </w:p>
    <w:p>
      <w:pPr>
        <w:widowControl w:val="0"/>
        <w:ind w:firstLine="640" w:firstLineChars="200"/>
        <w:rPr>
          <w:rFonts w:hint="eastAsia" w:ascii="仿宋_GB2312"/>
          <w:sz w:val="32"/>
          <w:szCs w:val="32"/>
        </w:rPr>
      </w:pPr>
      <w:r>
        <w:rPr>
          <w:rFonts w:hint="eastAsia" w:ascii="仿宋_GB2312"/>
          <w:sz w:val="32"/>
          <w:szCs w:val="32"/>
        </w:rPr>
        <w:t>如有发生更名、合并以及新开办业务的县级学生资助中心需提供以下材料扫描件：机构证书申请表、委托授权书、县级学生资助中心成立时的相关文件、县级学生资助中心事业单位法人证书、县级学生资助中心公章印模、县级学生资助中心负责人手签章、经办人身份证（正反面A4复印）。</w:t>
      </w:r>
    </w:p>
    <w:p>
      <w:pPr>
        <w:widowControl w:val="0"/>
        <w:ind w:firstLine="640" w:firstLineChars="200"/>
        <w:rPr>
          <w:rFonts w:hint="eastAsia" w:ascii="仿宋_GB2312"/>
          <w:b/>
          <w:sz w:val="32"/>
          <w:szCs w:val="32"/>
        </w:rPr>
      </w:pPr>
      <w:r>
        <w:rPr>
          <w:rFonts w:hint="eastAsia" w:ascii="仿宋_GB2312"/>
          <w:b/>
          <w:sz w:val="32"/>
          <w:szCs w:val="32"/>
        </w:rPr>
        <w:t>3.贷款预申请工作</w:t>
      </w:r>
    </w:p>
    <w:p>
      <w:pPr>
        <w:widowControl w:val="0"/>
        <w:ind w:firstLine="640" w:firstLineChars="200"/>
        <w:rPr>
          <w:rFonts w:hint="eastAsia" w:ascii="仿宋_GB2312"/>
          <w:sz w:val="32"/>
          <w:szCs w:val="32"/>
        </w:rPr>
      </w:pPr>
      <w:r>
        <w:rPr>
          <w:rFonts w:hint="eastAsia" w:ascii="仿宋_GB2312"/>
          <w:sz w:val="32"/>
          <w:szCs w:val="32"/>
        </w:rPr>
        <w:t>生源地信用助学贷款工作根据上级文件，原则上要按照先预申请再由学生及共同借款人到户籍所在地县级学生资助中心（或办理点）现场办理的程序进行。</w:t>
      </w:r>
      <w:r>
        <w:rPr>
          <w:rFonts w:hint="eastAsia" w:ascii="仿宋_GB2312"/>
          <w:bCs/>
          <w:sz w:val="32"/>
          <w:szCs w:val="32"/>
        </w:rPr>
        <w:t>各市、县级学生资助中心、各省属普通高中、省属中等职业学校要按照</w:t>
      </w:r>
      <w:r>
        <w:rPr>
          <w:rFonts w:hint="eastAsia" w:ascii="仿宋_GB2312"/>
          <w:sz w:val="32"/>
          <w:szCs w:val="32"/>
        </w:rPr>
        <w:t>《河南省教育厅办公室关于做好2022年度生源地信用助学贷款预申请工作的通知》(教办资助〔2022〕125号)要求认真做好这项工作。</w:t>
      </w:r>
    </w:p>
    <w:p>
      <w:pPr>
        <w:widowControl w:val="0"/>
        <w:ind w:firstLine="640" w:firstLineChars="200"/>
        <w:rPr>
          <w:rFonts w:hint="eastAsia" w:ascii="仿宋_GB2312"/>
          <w:bCs/>
          <w:sz w:val="32"/>
          <w:szCs w:val="32"/>
        </w:rPr>
      </w:pPr>
      <w:r>
        <w:rPr>
          <w:rFonts w:hint="eastAsia" w:ascii="仿宋_GB2312"/>
          <w:bCs/>
          <w:sz w:val="32"/>
          <w:szCs w:val="32"/>
        </w:rPr>
        <w:t>今年的预申请工作，各市、县级学生资助中心要利用高三毕业学生高考返校期间再次对预申请政策进行宣传。对未在高中阶段进行预申请，但因</w:t>
      </w:r>
      <w:r>
        <w:rPr>
          <w:rFonts w:hint="eastAsia" w:ascii="仿宋_GB2312"/>
          <w:sz w:val="32"/>
          <w:szCs w:val="32"/>
        </w:rPr>
        <w:t>受新冠肺炎疫情影响、</w:t>
      </w:r>
      <w:r>
        <w:rPr>
          <w:rFonts w:hint="eastAsia" w:ascii="仿宋_GB2312"/>
          <w:bCs/>
          <w:sz w:val="32"/>
          <w:szCs w:val="32"/>
        </w:rPr>
        <w:t>遭遇自然灾害、家庭变故或确因家庭经济困难需申办生源地信用助学贷款的学生，高中或中等职业学校按照《河南省教育厅等七部门关于印发河南省家庭经济困难学生认定工作实施办法的通知》</w:t>
      </w:r>
      <w:r>
        <w:rPr>
          <w:rFonts w:hint="eastAsia" w:ascii="仿宋_GB2312"/>
          <w:sz w:val="32"/>
          <w:szCs w:val="32"/>
        </w:rPr>
        <w:t>(豫教财〔2019〕84号)</w:t>
      </w:r>
      <w:r>
        <w:rPr>
          <w:rFonts w:hint="eastAsia" w:ascii="仿宋_GB2312"/>
          <w:bCs/>
          <w:sz w:val="32"/>
          <w:szCs w:val="32"/>
        </w:rPr>
        <w:t>对学生家庭经济困难情况进行认定，并将预申请名单电子版和加盖公章纸质版报送至学校所在地县级学生资助中心。县级学生资助中心将高中和中等职业学校报送的预申请名单导入国家开发银行生源地信用助学贷款管理系统。</w:t>
      </w:r>
    </w:p>
    <w:p>
      <w:pPr>
        <w:widowControl w:val="0"/>
        <w:ind w:firstLine="640" w:firstLineChars="200"/>
        <w:rPr>
          <w:rFonts w:hint="eastAsia" w:ascii="仿宋_GB2312"/>
          <w:sz w:val="32"/>
          <w:szCs w:val="32"/>
        </w:rPr>
      </w:pPr>
      <w:r>
        <w:rPr>
          <w:rFonts w:hint="eastAsia" w:ascii="仿宋_GB2312"/>
          <w:sz w:val="32"/>
          <w:szCs w:val="32"/>
        </w:rPr>
        <w:t>各高中和中等职业学校要留存家庭经济困难学生认定相关材料，并编制本校的预申请名单加盖公章后同电子版一并报送至学校所在地的市、县级学生资助中心。县级学生资助中心要留存各高中或中等职业学校报送的加盖公章预申请名单纸质表备查。</w:t>
      </w:r>
    </w:p>
    <w:p>
      <w:pPr>
        <w:widowControl w:val="0"/>
        <w:ind w:firstLine="640" w:firstLineChars="200"/>
        <w:rPr>
          <w:rFonts w:hint="eastAsia" w:ascii="仿宋_GB2312"/>
          <w:b/>
          <w:sz w:val="32"/>
          <w:szCs w:val="32"/>
        </w:rPr>
      </w:pPr>
      <w:r>
        <w:rPr>
          <w:rFonts w:hint="eastAsia" w:ascii="仿宋_GB2312"/>
          <w:b/>
          <w:sz w:val="32"/>
          <w:szCs w:val="32"/>
        </w:rPr>
        <w:t>4.需求摸底和贷款额度上报</w:t>
      </w:r>
    </w:p>
    <w:p>
      <w:pPr>
        <w:widowControl w:val="0"/>
        <w:ind w:firstLine="640" w:firstLineChars="200"/>
        <w:rPr>
          <w:rFonts w:hint="eastAsia" w:ascii="仿宋_GB2312"/>
          <w:sz w:val="32"/>
          <w:szCs w:val="32"/>
          <w:lang w:val="zh-CN"/>
        </w:rPr>
      </w:pPr>
      <w:r>
        <w:rPr>
          <w:rFonts w:hint="eastAsia" w:ascii="仿宋_GB2312"/>
          <w:sz w:val="32"/>
          <w:szCs w:val="32"/>
          <w:lang w:val="zh-CN"/>
        </w:rPr>
        <w:t>国家助学贷款要靶向家庭经济困难学生资助需求，不设贷款规模和人数上限。各县级学生资助中心要根据预申请情况、历年高校录取情况和已</w:t>
      </w:r>
      <w:r>
        <w:rPr>
          <w:rFonts w:hint="eastAsia" w:ascii="仿宋_GB2312"/>
          <w:sz w:val="32"/>
          <w:szCs w:val="32"/>
        </w:rPr>
        <w:t>掌握受新冠肺炎疫情影响的学生及其家庭经济情况，</w:t>
      </w:r>
      <w:r>
        <w:rPr>
          <w:rFonts w:hint="eastAsia" w:ascii="仿宋_GB2312"/>
          <w:sz w:val="32"/>
          <w:szCs w:val="32"/>
          <w:lang w:val="zh-CN"/>
        </w:rPr>
        <w:t>结合2021年生源地信用助学贷款受理人数，做好生源地信用助学贷款的需求摸底工作</w:t>
      </w:r>
      <w:r>
        <w:rPr>
          <w:rFonts w:hint="eastAsia" w:ascii="仿宋_GB2312"/>
          <w:sz w:val="32"/>
          <w:szCs w:val="32"/>
        </w:rPr>
        <w:t>，</w:t>
      </w:r>
      <w:r>
        <w:rPr>
          <w:rFonts w:hint="eastAsia" w:ascii="仿宋_GB2312"/>
          <w:sz w:val="32"/>
          <w:szCs w:val="32"/>
          <w:lang w:val="zh-CN"/>
        </w:rPr>
        <w:t>科学预测当年的生源地信用助学贷款额度。</w:t>
      </w:r>
    </w:p>
    <w:p>
      <w:pPr>
        <w:widowControl w:val="0"/>
        <w:ind w:firstLine="640" w:firstLineChars="200"/>
        <w:rPr>
          <w:rFonts w:hint="eastAsia" w:ascii="仿宋_GB2312"/>
          <w:sz w:val="32"/>
          <w:szCs w:val="32"/>
        </w:rPr>
      </w:pPr>
      <w:r>
        <w:rPr>
          <w:rFonts w:hint="eastAsia" w:ascii="仿宋_GB2312"/>
          <w:sz w:val="32"/>
          <w:szCs w:val="32"/>
        </w:rPr>
        <w:t>省辖市学生资助中心7月10日前统计上报所辖县（市、区）的《2022</w:t>
      </w:r>
      <w:r>
        <w:rPr>
          <w:rFonts w:hint="eastAsia" w:ascii="仿宋_GB2312" w:hAnsi="宋体" w:cs="宋体"/>
          <w:sz w:val="32"/>
          <w:szCs w:val="32"/>
        </w:rPr>
        <w:t>－</w:t>
      </w:r>
      <w:r>
        <w:rPr>
          <w:rFonts w:hint="eastAsia" w:ascii="仿宋_GB2312"/>
          <w:sz w:val="32"/>
          <w:szCs w:val="32"/>
        </w:rPr>
        <w:t>2023年度生源地信用助学贷款额度预测表》（附件1,Excel格式）。省重点扩权县（市）随所在省辖市报送，省直管县（市）单独报送。</w:t>
      </w:r>
    </w:p>
    <w:p>
      <w:pPr>
        <w:widowControl w:val="0"/>
        <w:ind w:firstLine="640" w:firstLineChars="200"/>
        <w:rPr>
          <w:rFonts w:hint="eastAsia" w:ascii="仿宋_GB2312"/>
          <w:b/>
          <w:sz w:val="32"/>
          <w:szCs w:val="32"/>
        </w:rPr>
      </w:pPr>
      <w:r>
        <w:rPr>
          <w:rFonts w:hint="eastAsia" w:ascii="仿宋_GB2312"/>
          <w:b/>
          <w:sz w:val="32"/>
          <w:szCs w:val="32"/>
        </w:rPr>
        <w:t>5.做好贷款受理启动前的准备工作</w:t>
      </w:r>
    </w:p>
    <w:p>
      <w:pPr>
        <w:widowControl w:val="0"/>
        <w:ind w:firstLine="640" w:firstLineChars="200"/>
        <w:rPr>
          <w:rFonts w:hint="eastAsia" w:ascii="仿宋_GB2312"/>
          <w:sz w:val="32"/>
          <w:szCs w:val="32"/>
        </w:rPr>
      </w:pPr>
      <w:r>
        <w:rPr>
          <w:rFonts w:hint="eastAsia" w:ascii="仿宋_GB2312"/>
          <w:sz w:val="32"/>
          <w:szCs w:val="32"/>
        </w:rPr>
        <w:t>各县（市、区）根据需求摸底情况、参考往年受理经验和年度受理日程安排，配备招聘足够的工作人员和志愿者，合理安排办理大厅的受理窗口数量，配备与受理窗口数一致的台式计算机和合同电子化设备并提前进行调试。同时，各县级学生资助中心还应配备至少1台笔记本电脑，1台信息安全备用电脑，网络专线，双面打印机4－6台，扫描仪1台，彩色打印机1台，数码相机1台，复印机1台，录音笔1个，POS机2台以上（含1台便携式）。</w:t>
      </w:r>
    </w:p>
    <w:p>
      <w:pPr>
        <w:widowControl w:val="0"/>
        <w:ind w:firstLine="640" w:firstLineChars="200"/>
        <w:rPr>
          <w:rFonts w:hint="eastAsia" w:ascii="仿宋_GB2312"/>
          <w:sz w:val="32"/>
          <w:szCs w:val="32"/>
        </w:rPr>
      </w:pPr>
      <w:r>
        <w:rPr>
          <w:rFonts w:hint="eastAsia" w:ascii="仿宋_GB2312"/>
          <w:sz w:val="32"/>
          <w:szCs w:val="32"/>
        </w:rPr>
        <w:t>根据《2022年国家开发银行承办的国家助学贷款工作指引》要求，今年受理启动现场拍照工作，即通过高拍仪的主摄像头完成身份证件、录取通知书等材料的拍摄后，通过前置摄像头拍摄学生和家长的现场办贷的图像资料。助学贷款受理现场拍照作为首贷的必备环节，未拍照将影响贷款受理。各县（市、区）要配合做好贷款办理现场拍照工作，根据实际工作需要及时更新、购置、调试设备，确保受理工作平稳有序开展。</w:t>
      </w:r>
    </w:p>
    <w:p>
      <w:pPr>
        <w:widowControl w:val="0"/>
        <w:ind w:firstLine="640" w:firstLineChars="200"/>
        <w:rPr>
          <w:rFonts w:hint="eastAsia" w:ascii="仿宋_GB2312"/>
          <w:b/>
          <w:sz w:val="32"/>
          <w:szCs w:val="32"/>
        </w:rPr>
      </w:pPr>
      <w:r>
        <w:rPr>
          <w:rFonts w:hint="eastAsia" w:ascii="仿宋_GB2312"/>
          <w:b/>
          <w:sz w:val="32"/>
          <w:szCs w:val="32"/>
        </w:rPr>
        <w:t>6.做好疫情、汛情等特殊情况应对工作</w:t>
      </w:r>
    </w:p>
    <w:p>
      <w:pPr>
        <w:widowControl w:val="0"/>
        <w:ind w:firstLine="640" w:firstLineChars="200"/>
        <w:rPr>
          <w:rFonts w:hint="eastAsia" w:ascii="仿宋_GB2312"/>
          <w:sz w:val="32"/>
          <w:szCs w:val="32"/>
        </w:rPr>
      </w:pPr>
      <w:r>
        <w:rPr>
          <w:rFonts w:hint="eastAsia" w:ascii="仿宋_GB2312"/>
          <w:sz w:val="32"/>
          <w:szCs w:val="32"/>
        </w:rPr>
        <w:t>今年新冠肺炎疫情反弹形式严峻，生源地信用助学贷款受理高峰期也是汛情等特殊情况高发期，各县（市、区）要坚持底线思维，早动手、早准备，做到不因疫情、汛情等影响助学贷款，更不能因为助学贷款引发疫情。严格落实办理现场疫情防控准备工作，备足疫情防控物资，采取每天给受理场所消毒、通风、测量体温、佩戴口罩、设置“一米线”等措施，避免在受理过程中出现扎堆、排队、拥挤等现象，确保学生、家长和工作人员的安全健康。</w:t>
      </w:r>
    </w:p>
    <w:p>
      <w:pPr>
        <w:widowControl w:val="0"/>
        <w:ind w:firstLine="640" w:firstLineChars="200"/>
        <w:rPr>
          <w:rFonts w:hint="eastAsia" w:ascii="仿宋_GB2312"/>
          <w:b/>
          <w:sz w:val="32"/>
          <w:szCs w:val="32"/>
        </w:rPr>
      </w:pPr>
      <w:r>
        <w:rPr>
          <w:rFonts w:hint="eastAsia" w:ascii="仿宋_GB2312"/>
          <w:b/>
          <w:sz w:val="32"/>
          <w:szCs w:val="32"/>
        </w:rPr>
        <w:t>7.落实主任接待日制度</w:t>
      </w:r>
    </w:p>
    <w:p>
      <w:pPr>
        <w:widowControl w:val="0"/>
        <w:ind w:firstLine="640" w:firstLineChars="200"/>
        <w:rPr>
          <w:rFonts w:hint="eastAsia" w:ascii="仿宋_GB2312"/>
          <w:sz w:val="32"/>
          <w:szCs w:val="32"/>
        </w:rPr>
      </w:pPr>
      <w:r>
        <w:rPr>
          <w:rFonts w:hint="eastAsia" w:ascii="仿宋_GB2312"/>
          <w:sz w:val="32"/>
          <w:szCs w:val="32"/>
        </w:rPr>
        <w:t>我省各县级学生资助中心要继续落实好主任接待日制度。各县级学生资助中心主任要在贷款受理高峰期坚守工作岗位，解决好疑难问题，确保生源地信用助学贷款受理工作平稳有序进行。</w:t>
      </w:r>
    </w:p>
    <w:p>
      <w:pPr>
        <w:widowControl w:val="0"/>
        <w:ind w:firstLine="640" w:firstLineChars="200"/>
        <w:rPr>
          <w:rFonts w:hint="eastAsia" w:ascii="仿宋_GB2312"/>
          <w:b/>
          <w:sz w:val="32"/>
          <w:szCs w:val="32"/>
        </w:rPr>
      </w:pPr>
      <w:r>
        <w:rPr>
          <w:rFonts w:hint="eastAsia" w:ascii="仿宋_GB2312"/>
          <w:b/>
          <w:sz w:val="32"/>
          <w:szCs w:val="32"/>
        </w:rPr>
        <w:t>8.工作人员名单报送和动态口令牌领用</w:t>
      </w:r>
    </w:p>
    <w:p>
      <w:pPr>
        <w:widowControl w:val="0"/>
        <w:ind w:firstLine="640" w:firstLineChars="200"/>
        <w:rPr>
          <w:rFonts w:hint="eastAsia" w:ascii="仿宋_GB2312"/>
          <w:sz w:val="32"/>
          <w:szCs w:val="32"/>
        </w:rPr>
      </w:pPr>
      <w:r>
        <w:rPr>
          <w:rFonts w:hint="eastAsia" w:ascii="仿宋_GB2312"/>
          <w:sz w:val="32"/>
          <w:szCs w:val="32"/>
        </w:rPr>
        <w:t>请各市县于7月10日之前，填写《市、县两级学生资助工作人员名单》（附件2，Excel格式）报送至省学生资助中心，及时加入河南省助学贷款工作QQ群（52873665）。工作人员有变动的市、县、区需登录国家开发银行生源地信用助学贷款信息管理系统，通过“信息变更”菜单，“用户信息变更”模块更新完善相关人员信息。</w:t>
      </w:r>
    </w:p>
    <w:p>
      <w:pPr>
        <w:widowControl w:val="0"/>
        <w:ind w:firstLine="640" w:firstLineChars="200"/>
        <w:rPr>
          <w:rFonts w:hint="eastAsia" w:ascii="仿宋_GB2312"/>
          <w:sz w:val="32"/>
          <w:szCs w:val="32"/>
        </w:rPr>
      </w:pPr>
      <w:r>
        <w:rPr>
          <w:rFonts w:hint="eastAsia" w:ascii="仿宋_GB2312"/>
          <w:sz w:val="32"/>
          <w:szCs w:val="32"/>
        </w:rPr>
        <w:t>各县（市、区）要依据贷款人数和已有动态口令牌数量等因素，提前做好动态口令牌申领工作，对于电子口令牌丢失、电子口令牌损坏的县级学生资助管理中心，要填写国家助学贷款电子口令牌申请表（附件3）并上交至国家开发银行河南分行。</w:t>
      </w:r>
    </w:p>
    <w:p>
      <w:pPr>
        <w:widowControl w:val="0"/>
        <w:ind w:firstLine="640" w:firstLineChars="200"/>
        <w:rPr>
          <w:rFonts w:hint="eastAsia" w:ascii="仿宋_GB2312"/>
          <w:b/>
          <w:sz w:val="32"/>
          <w:szCs w:val="32"/>
        </w:rPr>
      </w:pPr>
      <w:r>
        <w:rPr>
          <w:rFonts w:hint="eastAsia" w:ascii="仿宋_GB2312"/>
          <w:b/>
          <w:sz w:val="32"/>
          <w:szCs w:val="32"/>
        </w:rPr>
        <w:t>9.乡镇街道和高中信息录入</w:t>
      </w:r>
    </w:p>
    <w:p>
      <w:pPr>
        <w:widowControl w:val="0"/>
        <w:ind w:firstLine="640" w:firstLineChars="200"/>
        <w:rPr>
          <w:rFonts w:hint="eastAsia" w:ascii="仿宋_GB2312"/>
          <w:sz w:val="32"/>
          <w:szCs w:val="32"/>
        </w:rPr>
      </w:pPr>
      <w:r>
        <w:rPr>
          <w:rFonts w:hint="eastAsia" w:ascii="仿宋_GB2312"/>
          <w:sz w:val="32"/>
          <w:szCs w:val="32"/>
        </w:rPr>
        <w:t>为进一步加强县学生资助中心管理，助学贷款信息管理系统中增加了乡镇街道和高中信息管理功能，部分县学生资助中心在系统中录入了乡镇街道和高中信息，请各县级学生资助中心继续做好数据录入维护工作，于6月底前完成相关工作。</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（二）贷款申请受理及发放工作</w:t>
      </w:r>
    </w:p>
    <w:p>
      <w:pPr>
        <w:widowControl w:val="0"/>
        <w:ind w:firstLine="640" w:firstLineChars="200"/>
        <w:rPr>
          <w:rFonts w:hint="eastAsia" w:ascii="仿宋_GB2312"/>
          <w:b/>
          <w:sz w:val="32"/>
          <w:szCs w:val="32"/>
        </w:rPr>
      </w:pPr>
      <w:r>
        <w:rPr>
          <w:rFonts w:hint="eastAsia" w:ascii="仿宋_GB2312"/>
          <w:b/>
          <w:sz w:val="32"/>
          <w:szCs w:val="32"/>
        </w:rPr>
        <w:t>1.加强借款学生贷款资格审查</w:t>
      </w:r>
    </w:p>
    <w:p>
      <w:pPr>
        <w:widowControl w:val="0"/>
        <w:ind w:firstLine="640" w:firstLineChars="200"/>
        <w:rPr>
          <w:rFonts w:hint="eastAsia" w:ascii="仿宋_GB2312"/>
          <w:sz w:val="32"/>
          <w:szCs w:val="32"/>
        </w:rPr>
      </w:pPr>
      <w:r>
        <w:rPr>
          <w:rFonts w:hint="eastAsia" w:ascii="仿宋_GB2312"/>
          <w:sz w:val="32"/>
          <w:szCs w:val="32"/>
        </w:rPr>
        <w:t>各市县和学校要按照</w:t>
      </w:r>
      <w:r>
        <w:rPr>
          <w:rFonts w:hint="eastAsia" w:ascii="仿宋_GB2312"/>
          <w:bCs/>
          <w:sz w:val="32"/>
          <w:szCs w:val="32"/>
        </w:rPr>
        <w:t>《河南省教育厅等七部门关于印发河南省家庭经济困难学生认定工作实施办法的通知》</w:t>
      </w:r>
      <w:r>
        <w:rPr>
          <w:rFonts w:hint="eastAsia" w:ascii="仿宋_GB2312"/>
          <w:sz w:val="32"/>
          <w:szCs w:val="32"/>
        </w:rPr>
        <w:t>(豫教财〔2019〕84号)要求，做好未经过预申请家庭困难学生资格的认定工作。</w:t>
      </w:r>
      <w:r>
        <w:rPr>
          <w:rFonts w:hint="eastAsia" w:ascii="仿宋_GB2312"/>
          <w:sz w:val="32"/>
          <w:szCs w:val="32"/>
          <w:lang w:val="zh-CN"/>
        </w:rPr>
        <w:t>坚持“应贷尽贷”与“精准滴灌”并举，杜绝“想贷就贷”和“大水漫灌式贷款”，国家助学贷款要向特殊困难群体倾斜，对原建档立卡贫困家庭学生、最低生活保障家庭学生、特困供养学生、孤儿、烈士子女、家庭经济困难残疾学生及残疾人子女等特殊困难群体要重点予以保障，对“边缘易致贫户”、“因病因灾因意外事故等刚性支出较大或收入大幅缩减导致基本生活出现严重困难户”家庭的学生予以关注，根据实际情况及时纳入保障范围，</w:t>
      </w:r>
      <w:r>
        <w:rPr>
          <w:rFonts w:hint="eastAsia" w:ascii="仿宋_GB2312"/>
          <w:sz w:val="32"/>
          <w:szCs w:val="32"/>
        </w:rPr>
        <w:t>严格落实贷款资格审查要求。</w:t>
      </w:r>
    </w:p>
    <w:p>
      <w:pPr>
        <w:widowControl w:val="0"/>
        <w:ind w:firstLine="640" w:firstLineChars="200"/>
        <w:rPr>
          <w:rFonts w:hint="eastAsia" w:ascii="仿宋_GB2312"/>
          <w:b/>
          <w:sz w:val="32"/>
          <w:szCs w:val="32"/>
        </w:rPr>
      </w:pPr>
      <w:r>
        <w:rPr>
          <w:rFonts w:hint="eastAsia" w:ascii="仿宋_GB2312"/>
          <w:b/>
          <w:sz w:val="32"/>
          <w:szCs w:val="32"/>
        </w:rPr>
        <w:t>2.合理统筹安排，认真做好受理工作</w:t>
      </w:r>
    </w:p>
    <w:p>
      <w:pPr>
        <w:widowControl w:val="0"/>
        <w:ind w:firstLine="640" w:firstLineChars="200"/>
        <w:rPr>
          <w:rFonts w:hint="eastAsia" w:ascii="仿宋_GB2312"/>
          <w:sz w:val="32"/>
          <w:szCs w:val="32"/>
        </w:rPr>
      </w:pPr>
      <w:r>
        <w:rPr>
          <w:rFonts w:hint="eastAsia" w:ascii="仿宋_GB2312"/>
          <w:sz w:val="32"/>
          <w:szCs w:val="32"/>
        </w:rPr>
        <w:t>各省辖市学生资助中心要组成监督检查组，对所辖县（市、区）贷款政策宣传情况、人员、办公场所、办公网络、办公设备配备等情况进行监督检查，保证设备满足工作开展的需要，工作人员岗位职责明确、工作程序规范有序、业务系统操作熟练各项措施及时到位。</w:t>
      </w:r>
    </w:p>
    <w:p>
      <w:pPr>
        <w:widowControl w:val="0"/>
        <w:ind w:firstLine="640" w:firstLineChars="200"/>
        <w:rPr>
          <w:rFonts w:hint="eastAsia" w:ascii="仿宋_GB2312"/>
          <w:sz w:val="32"/>
          <w:szCs w:val="32"/>
        </w:rPr>
      </w:pPr>
      <w:r>
        <w:rPr>
          <w:rFonts w:hint="eastAsia" w:ascii="仿宋_GB2312"/>
          <w:sz w:val="32"/>
          <w:szCs w:val="32"/>
        </w:rPr>
        <w:t>各省辖市学生资助中心要督促所属县（市、区）学生资助中心，在受理申请工作中精心组织、统筹安排，制订、完善生源地信用助学贷款工作受理预案和应急预案（含疫情、汛情等特殊情况应对）并实施演练，避免发生群体性事件；建立助学贷款受理预警机制，及时解决突发情况，做好应急处理；做好现场办理的服务工作，贷款办理期时值盛夏，要在办理现场备好防暑用品，打印设备、可上网的电脑等，为借款学生及其家长提供一站式服务，实现助学贷款手续一次性办结。对于借款学生及其家长，在办理助学贷款手续过程中所需要的材料一次性说清楚，手续一次性办结。对于办事大厅面积狭小、楼层较高的学生资助中心，要及早采取措施，合理调度安排工作。贷款量在3000人以上的县级学生资助中心，要推动贷款受理下沉至高中和乡镇，通过微信公众号、微信群、QQ群等方式实行网上预约办理。各县（市、区）要采取科学设置受理点和窗口，筹划和安排好预约受理、错峰受理、选派志愿者、秩序维护、咨询答疑和便民服务措施，提高受理效率和服务水平，确保受理工作平稳、高效，杜绝学生、家长排长队等候或多次往返奔波等情况。</w:t>
      </w:r>
    </w:p>
    <w:p>
      <w:pPr>
        <w:widowControl w:val="0"/>
        <w:ind w:firstLine="640" w:firstLineChars="200"/>
        <w:rPr>
          <w:rFonts w:hint="eastAsia" w:ascii="仿宋_GB2312"/>
          <w:sz w:val="32"/>
          <w:szCs w:val="32"/>
        </w:rPr>
      </w:pPr>
      <w:r>
        <w:rPr>
          <w:rFonts w:hint="eastAsia" w:ascii="仿宋_GB2312"/>
          <w:sz w:val="32"/>
          <w:szCs w:val="32"/>
        </w:rPr>
        <w:t>为降低人员聚集带来的病毒传播风险，我省今年继续全面实施生源地信用助学贷款续贷远程受理，符合条件的续贷学生可根据需要自行选择合同签订方式，各县级学生资助中心要加大相关政策宣传力度，做好相关学生网上操作的辅导工作，并及时在系统内审核远程续贷合同。</w:t>
      </w:r>
    </w:p>
    <w:p>
      <w:pPr>
        <w:widowControl w:val="0"/>
        <w:ind w:firstLine="640" w:firstLineChars="200"/>
        <w:rPr>
          <w:rFonts w:hint="eastAsia" w:ascii="仿宋_GB2312"/>
          <w:sz w:val="32"/>
          <w:szCs w:val="32"/>
        </w:rPr>
      </w:pPr>
      <w:r>
        <w:rPr>
          <w:rFonts w:hint="eastAsia" w:ascii="仿宋_GB2312"/>
          <w:sz w:val="32"/>
          <w:szCs w:val="32"/>
        </w:rPr>
        <w:t>各县级学生资助中心要从7月1日（暂定）起组织辅导学生访问登录生源地信用助学贷款学生在线服务系统，进行用户注册，验证手机号码，进行身份认证，填报贷款申请信息。7月15日起组织借款学生携带所需提供材料到县学生资助中心办理贷款审查及合同签订事宜。按照“早入学、先办理”的原则，建议在7月15日至8月2日期间主要受理在校大学生贷款申请，8月2日至9月20日主要受理新生贷款申请，错峰处理。对不符合贷款条件学生和家长做好解释工作，保证贷款工作平稳开展。各省辖市要加强对所属县（市、区）的业务指导，省学生资助中心将随机检查各地生源地信用助学贷款工作开展情况。</w:t>
      </w:r>
    </w:p>
    <w:p>
      <w:pPr>
        <w:widowControl w:val="0"/>
        <w:ind w:firstLine="640" w:firstLineChars="200"/>
        <w:rPr>
          <w:rFonts w:hint="eastAsia" w:ascii="仿宋_GB2312"/>
          <w:b/>
          <w:sz w:val="32"/>
          <w:szCs w:val="32"/>
        </w:rPr>
      </w:pPr>
      <w:r>
        <w:rPr>
          <w:rFonts w:hint="eastAsia" w:ascii="仿宋_GB2312"/>
          <w:b/>
          <w:sz w:val="32"/>
          <w:szCs w:val="32"/>
        </w:rPr>
        <w:t>3.完善办贷流程，提升管理规范性</w:t>
      </w:r>
    </w:p>
    <w:p>
      <w:pPr>
        <w:widowControl w:val="0"/>
        <w:ind w:firstLine="640" w:firstLineChars="200"/>
        <w:rPr>
          <w:rFonts w:hint="eastAsia" w:ascii="仿宋_GB2312"/>
          <w:b/>
          <w:sz w:val="32"/>
          <w:szCs w:val="32"/>
        </w:rPr>
      </w:pPr>
      <w:r>
        <w:rPr>
          <w:rFonts w:hint="eastAsia" w:ascii="仿宋_GB2312"/>
          <w:sz w:val="32"/>
          <w:szCs w:val="32"/>
        </w:rPr>
        <w:t>各市、县（市、区）学生资助中心要强化贷款流程的合规管理，做好贷款办理现场拍照工作。同时，加强对办贷学生和共同借款人的身份核实和信息核对工作，确认其所持身份证件合法有效、且为本人证件后，方可签署借款合同。坚决杜绝未经合法合规程序，允许他人代为签署借款合同或代为办理贷款的现象发生。认真核实借款人和共同借款人等关键信息，提高数据质量。同时在工作全流程中强化保护学生个人信息的意识，确保在合法依规的前提下，开展学生个人信息的采集和录入工作。</w:t>
      </w:r>
    </w:p>
    <w:p>
      <w:pPr>
        <w:widowControl w:val="0"/>
        <w:ind w:firstLine="640" w:firstLineChars="200"/>
        <w:rPr>
          <w:rFonts w:hint="eastAsia" w:ascii="仿宋_GB2312"/>
          <w:b/>
          <w:sz w:val="32"/>
          <w:szCs w:val="32"/>
        </w:rPr>
      </w:pPr>
      <w:r>
        <w:rPr>
          <w:rFonts w:hint="eastAsia" w:ascii="仿宋_GB2312"/>
          <w:b/>
          <w:sz w:val="32"/>
          <w:szCs w:val="32"/>
        </w:rPr>
        <w:t>4.加强舆情监测，关注媒体报道</w:t>
      </w:r>
    </w:p>
    <w:p>
      <w:pPr>
        <w:widowControl w:val="0"/>
        <w:ind w:firstLine="640" w:firstLineChars="200"/>
        <w:rPr>
          <w:rFonts w:hint="eastAsia" w:ascii="仿宋_GB2312"/>
          <w:sz w:val="32"/>
          <w:szCs w:val="32"/>
        </w:rPr>
      </w:pPr>
      <w:r>
        <w:rPr>
          <w:rFonts w:hint="eastAsia" w:ascii="仿宋_GB2312"/>
          <w:sz w:val="32"/>
          <w:szCs w:val="32"/>
        </w:rPr>
        <w:t>各市、县（市、区）要将舆情舆论预防工作想在前面、做在前面，增强舆情舆论捕捉敏感性，制定应对预案，配备监测人员，密切关注广播电视、报刊杂志等传统媒体，互联网、微信、微博、抖音等新媒体，加强对不稳定因素的预判、监测和管理，第一时间发现舆情舆论，为及时处理赢得宝贵时间。要畅通反映问题渠道，及时解决问题，贷款办理期间，各市、县要对本地区贷款工作情况进行实时监控，重点关注助学贷款新开办县及管理工作薄弱的县，如发现有关本地区家庭经济困难学生上学难方面的报道，在第一时间快速处理，并将处理结果报告省学生资助管理中心。</w:t>
      </w:r>
    </w:p>
    <w:p>
      <w:pPr>
        <w:widowControl w:val="0"/>
        <w:ind w:firstLine="640" w:firstLineChars="200"/>
        <w:rPr>
          <w:rFonts w:hint="eastAsia" w:ascii="仿宋_GB2312"/>
          <w:b/>
          <w:sz w:val="32"/>
          <w:szCs w:val="32"/>
        </w:rPr>
      </w:pPr>
      <w:r>
        <w:rPr>
          <w:rFonts w:hint="eastAsia" w:ascii="仿宋_GB2312"/>
          <w:b/>
          <w:sz w:val="32"/>
          <w:szCs w:val="32"/>
        </w:rPr>
        <w:t>5.落实工作周报制度</w:t>
      </w:r>
    </w:p>
    <w:p>
      <w:pPr>
        <w:widowControl w:val="0"/>
        <w:ind w:firstLine="640" w:firstLineChars="200"/>
        <w:rPr>
          <w:rFonts w:hint="eastAsia" w:ascii="仿宋_GB2312"/>
          <w:sz w:val="32"/>
          <w:szCs w:val="32"/>
        </w:rPr>
      </w:pPr>
      <w:r>
        <w:rPr>
          <w:rFonts w:hint="eastAsia" w:ascii="仿宋_GB2312"/>
          <w:sz w:val="32"/>
          <w:szCs w:val="32"/>
        </w:rPr>
        <w:t>7月18－9月20，各县级学生资助中心每周一要报送上周工作周报（附件4），简报内容主要包括：各县区工作人员配置情况、设备配备运行情况、业务受理进展情况、及工作中遇到的问题及建议。遇到重大突发事件时各地学生资助管理中心要及时向当地主管部门和省学生资助中心报告，省学生资助中心和国家开发银行河南省分行将对出现的问题，将集中解答并统一操作口径，对好的做法予以推广。</w:t>
      </w:r>
    </w:p>
    <w:p>
      <w:pPr>
        <w:widowControl w:val="0"/>
        <w:ind w:firstLine="640" w:firstLineChars="200"/>
        <w:rPr>
          <w:rFonts w:hint="eastAsia" w:ascii="仿宋_GB2312"/>
          <w:b/>
          <w:sz w:val="32"/>
          <w:szCs w:val="32"/>
        </w:rPr>
      </w:pPr>
      <w:r>
        <w:rPr>
          <w:rFonts w:hint="eastAsia" w:ascii="仿宋_GB2312"/>
          <w:b/>
          <w:sz w:val="32"/>
          <w:szCs w:val="32"/>
        </w:rPr>
        <w:t>6.收集录入合同回执，逐份审核贷款材料</w:t>
      </w:r>
    </w:p>
    <w:p>
      <w:pPr>
        <w:widowControl w:val="0"/>
        <w:ind w:firstLine="640" w:firstLineChars="200"/>
        <w:rPr>
          <w:rFonts w:hint="eastAsia" w:ascii="仿宋_GB2312"/>
          <w:sz w:val="32"/>
          <w:szCs w:val="32"/>
        </w:rPr>
      </w:pPr>
      <w:r>
        <w:rPr>
          <w:rFonts w:hint="eastAsia" w:ascii="仿宋_GB2312"/>
          <w:sz w:val="32"/>
          <w:szCs w:val="32"/>
        </w:rPr>
        <w:t>根据国家助学贷款政策要求，学生持国家开发银行生源地信用助学贷款受理证明（或回执验证短信）到高校报到，高校要录入回执。对于不及时录入回执的高校，各县级学生资助中心要及时主动进行协调，对于10月10日仍不能录入回执的学生将谢绝贷款。10月20日至31日，省学生资助中心将会同国家开发银行河南省分行开展合同审查，对不符合要求的申请和档案材料，予以退回补充材料或谢绝。11月7、8日，制作生源地信用助学贷款申请汇总表并逐级上报至省学生资助中心。时间若有变动，将另行通知。</w:t>
      </w:r>
    </w:p>
    <w:p>
      <w:pPr>
        <w:widowControl w:val="0"/>
        <w:ind w:firstLine="640" w:firstLineChars="200"/>
        <w:rPr>
          <w:rFonts w:hint="eastAsia" w:ascii="仿宋_GB2312"/>
          <w:b/>
          <w:sz w:val="32"/>
          <w:szCs w:val="32"/>
        </w:rPr>
      </w:pPr>
      <w:r>
        <w:rPr>
          <w:rFonts w:hint="eastAsia" w:ascii="仿宋_GB2312"/>
          <w:b/>
          <w:sz w:val="32"/>
          <w:szCs w:val="32"/>
        </w:rPr>
        <w:t>7.贴息及风险补偿金的资金划拨</w:t>
      </w:r>
    </w:p>
    <w:p>
      <w:pPr>
        <w:widowControl w:val="0"/>
        <w:tabs>
          <w:tab w:val="left" w:pos="4746"/>
        </w:tabs>
        <w:ind w:firstLine="640" w:firstLineChars="200"/>
        <w:rPr>
          <w:rFonts w:hint="eastAsia" w:ascii="仿宋_GB2312"/>
          <w:sz w:val="32"/>
          <w:szCs w:val="32"/>
        </w:rPr>
      </w:pPr>
      <w:r>
        <w:rPr>
          <w:rFonts w:hint="eastAsia" w:ascii="仿宋_GB2312"/>
          <w:sz w:val="32"/>
          <w:szCs w:val="32"/>
        </w:rPr>
        <w:t>2022年省级财政和市级财政承担的生源地信用助学贷款贷款贴息使用存量风险补偿金统筹支付。省财政负担风险补偿金由省财政下达省学生资助中心后直接拨付经办银行；市级财政部门负担的风险补偿金由省辖市财政下达至市级学生资助中心，市级学生资助中心于次年5月15日前划拨至省学生资助中心，由省学生资助中心汇总后于当年6月30日前统一拨付至经办银行。</w:t>
      </w:r>
    </w:p>
    <w:p>
      <w:pPr>
        <w:widowControl w:val="0"/>
        <w:ind w:firstLine="640" w:firstLineChars="200"/>
        <w:rPr>
          <w:rFonts w:hint="eastAsia" w:ascii="仿宋_GB2312"/>
          <w:sz w:val="32"/>
          <w:szCs w:val="32"/>
        </w:rPr>
      </w:pPr>
      <w:r>
        <w:rPr>
          <w:rFonts w:hint="eastAsia" w:ascii="仿宋_GB2312"/>
          <w:sz w:val="32"/>
          <w:szCs w:val="32"/>
        </w:rPr>
        <w:t>账户名：河南省学生资助管理中心</w:t>
      </w:r>
    </w:p>
    <w:p>
      <w:pPr>
        <w:widowControl w:val="0"/>
        <w:ind w:firstLine="640" w:firstLineChars="200"/>
        <w:rPr>
          <w:rFonts w:hint="eastAsia" w:ascii="仿宋_GB2312"/>
          <w:sz w:val="32"/>
          <w:szCs w:val="32"/>
        </w:rPr>
      </w:pPr>
      <w:r>
        <w:rPr>
          <w:rFonts w:hint="eastAsia" w:ascii="仿宋_GB2312"/>
          <w:sz w:val="32"/>
          <w:szCs w:val="32"/>
        </w:rPr>
        <w:t>账　号：4101 0101 0100 0050 05</w:t>
      </w:r>
    </w:p>
    <w:p>
      <w:pPr>
        <w:widowControl w:val="0"/>
        <w:ind w:firstLine="640" w:firstLineChars="200"/>
        <w:rPr>
          <w:rFonts w:hint="eastAsia" w:ascii="仿宋_GB2312"/>
          <w:sz w:val="32"/>
          <w:szCs w:val="32"/>
        </w:rPr>
      </w:pPr>
      <w:r>
        <w:rPr>
          <w:rFonts w:hint="eastAsia" w:ascii="仿宋_GB2312"/>
          <w:sz w:val="32"/>
          <w:szCs w:val="32"/>
        </w:rPr>
        <w:t>开户行：中原银行股份有限公司郑州分行</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（三）贷后管理工作</w:t>
      </w:r>
    </w:p>
    <w:p>
      <w:pPr>
        <w:widowControl w:val="0"/>
        <w:ind w:firstLine="640" w:firstLineChars="200"/>
        <w:rPr>
          <w:rFonts w:hint="eastAsia" w:ascii="仿宋_GB2312"/>
          <w:sz w:val="32"/>
          <w:szCs w:val="32"/>
        </w:rPr>
      </w:pPr>
      <w:r>
        <w:rPr>
          <w:rFonts w:hint="eastAsia" w:ascii="仿宋_GB2312"/>
          <w:sz w:val="32"/>
          <w:szCs w:val="32"/>
        </w:rPr>
        <w:t>各市、县（市、区）、要进一步加强贷后管理工作，早着手、早部署，将本息回收和逾期催收作为日常工作常抓不懈。按照《个人信息保护法》的要求开展对学生个人信息的使用、变更、处理等。因工作需要，确需对外提供或公布学生个人信息的，要严格落实保密要求，做好信息脱敏处理。6月底之前，提醒毕业学生办理毕业确认、就学信息变更、还款计划变更手续，提醒本年需要自付利息的学生按时支付利息；要高度重视对学生追踪联络、还款通知和逾期催收工作；对逾期未还款的学生，发挥多方力量联络学生或家长，督促其及时偿还本息。省教育厅将建立回收数据通报机制，通报当年本息回收情况。</w:t>
      </w:r>
    </w:p>
    <w:p>
      <w:pPr>
        <w:widowControl w:val="0"/>
        <w:ind w:firstLine="640" w:firstLineChars="200"/>
        <w:rPr>
          <w:rFonts w:hint="eastAsia" w:ascii="仿宋_GB2312"/>
          <w:b/>
          <w:sz w:val="32"/>
          <w:szCs w:val="32"/>
        </w:rPr>
      </w:pPr>
      <w:r>
        <w:rPr>
          <w:rFonts w:hint="eastAsia" w:ascii="仿宋_GB2312"/>
          <w:b/>
          <w:sz w:val="32"/>
          <w:szCs w:val="32"/>
        </w:rPr>
        <w:t>1.制定贷后管理实施细则</w:t>
      </w:r>
    </w:p>
    <w:p>
      <w:pPr>
        <w:widowControl w:val="0"/>
        <w:ind w:firstLine="640" w:firstLineChars="200"/>
        <w:rPr>
          <w:rFonts w:hint="eastAsia" w:ascii="仿宋_GB2312"/>
          <w:sz w:val="32"/>
          <w:szCs w:val="32"/>
        </w:rPr>
      </w:pPr>
      <w:r>
        <w:rPr>
          <w:rFonts w:hint="eastAsia" w:ascii="仿宋_GB2312"/>
          <w:sz w:val="32"/>
          <w:szCs w:val="32"/>
        </w:rPr>
        <w:t>市级统筹所辖县（市、区），实现贷后工作常态化、规范化、精细化，确保充足投入工作所需的人力、物力和财力。各级学生资助中心要结合当年本息回收预测情况，统筹制定全年本息回收计划，早准备、早着手，抓住关键时点，责任到人；加强贷后管理记录和留痕工作，及时填报助学贷款系统联系记录，注重贷后管理档案的归集和留存。</w:t>
      </w:r>
    </w:p>
    <w:p>
      <w:pPr>
        <w:widowControl w:val="0"/>
        <w:ind w:firstLine="640" w:firstLineChars="200"/>
        <w:rPr>
          <w:rFonts w:hint="eastAsia" w:ascii="仿宋_GB2312"/>
          <w:b/>
          <w:sz w:val="32"/>
          <w:szCs w:val="32"/>
        </w:rPr>
      </w:pPr>
      <w:r>
        <w:rPr>
          <w:rFonts w:hint="eastAsia" w:ascii="仿宋_GB2312"/>
          <w:b/>
          <w:sz w:val="32"/>
          <w:szCs w:val="32"/>
        </w:rPr>
        <w:t>2.推动建立多级联动的风险防控机制</w:t>
      </w:r>
    </w:p>
    <w:p>
      <w:pPr>
        <w:widowControl w:val="0"/>
        <w:ind w:firstLine="640" w:firstLineChars="200"/>
        <w:rPr>
          <w:rFonts w:hint="eastAsia" w:ascii="仿宋_GB2312"/>
          <w:sz w:val="32"/>
          <w:szCs w:val="32"/>
        </w:rPr>
      </w:pPr>
      <w:r>
        <w:rPr>
          <w:rFonts w:hint="eastAsia" w:ascii="仿宋_GB2312"/>
          <w:sz w:val="32"/>
          <w:szCs w:val="32"/>
        </w:rPr>
        <w:t>各市、县要充分发挥各级政府的统筹协调作用，强化县级学生资助中心的管理职能，积极构建“县、乡、村三级联动风险防控机制”，通过建立“县政府—乡镇政府—村（居）委会”、“县级学生资助管理中心—高中—乡镇中心校”多级协同管理体系，推动乡镇政府、乡镇中心校、村（居）委会、高中等单位切实参与政策宣传、预申请、诚信教育、学生联络和本息催收等工作，细化责任分工，丰富管理手段，提高管理能力和效率。</w:t>
      </w:r>
    </w:p>
    <w:p>
      <w:pPr>
        <w:widowControl w:val="0"/>
        <w:ind w:firstLine="640" w:firstLineChars="200"/>
        <w:rPr>
          <w:rFonts w:hint="eastAsia" w:ascii="仿宋_GB2312"/>
          <w:b/>
          <w:sz w:val="32"/>
          <w:szCs w:val="32"/>
        </w:rPr>
      </w:pPr>
      <w:r>
        <w:rPr>
          <w:rFonts w:hint="eastAsia" w:ascii="仿宋_GB2312"/>
          <w:b/>
          <w:sz w:val="32"/>
          <w:szCs w:val="32"/>
        </w:rPr>
        <w:t>3.加强诚信教育和防诈骗教育宣传</w:t>
      </w:r>
    </w:p>
    <w:p>
      <w:pPr>
        <w:widowControl w:val="0"/>
        <w:ind w:firstLine="640" w:firstLineChars="200"/>
        <w:rPr>
          <w:rFonts w:hint="eastAsia" w:ascii="仿宋_GB2312"/>
          <w:sz w:val="32"/>
          <w:szCs w:val="32"/>
        </w:rPr>
      </w:pPr>
      <w:r>
        <w:rPr>
          <w:rFonts w:hint="eastAsia" w:ascii="仿宋_GB2312"/>
          <w:sz w:val="32"/>
          <w:szCs w:val="32"/>
        </w:rPr>
        <w:t>各市、县（市、区）要抓住高考后、办理国家助学贷款借款和还款手续、春节、暑期返乡等时间节点，充分运用传统媒体、新兴媒体通过多种形式加大诚信教育宣传力度，加强诚信教育、防诈骗教育和金融知识教育，培养学生法律意识、风险防范意识和契约精神；要深入乡镇走村入户宣传政策、还款事项、违约对个人征信影响，提高借款学生、家长的责任意识、感恩意识、守信意识。</w:t>
      </w:r>
    </w:p>
    <w:p>
      <w:pPr>
        <w:widowControl w:val="0"/>
        <w:ind w:firstLine="640" w:firstLineChars="200"/>
        <w:rPr>
          <w:rFonts w:hint="eastAsia" w:ascii="仿宋_GB2312"/>
          <w:b/>
          <w:sz w:val="32"/>
          <w:szCs w:val="32"/>
        </w:rPr>
      </w:pPr>
      <w:r>
        <w:rPr>
          <w:rFonts w:hint="eastAsia" w:ascii="仿宋_GB2312"/>
          <w:b/>
          <w:sz w:val="32"/>
          <w:szCs w:val="32"/>
        </w:rPr>
        <w:t>4.非恶意逾期证明、结清证明的开具工作</w:t>
      </w:r>
    </w:p>
    <w:p>
      <w:pPr>
        <w:widowControl w:val="0"/>
        <w:ind w:firstLine="640" w:firstLineChars="200"/>
        <w:rPr>
          <w:rFonts w:hint="eastAsia" w:ascii="仿宋_GB2312"/>
          <w:sz w:val="32"/>
          <w:szCs w:val="32"/>
        </w:rPr>
      </w:pPr>
      <w:r>
        <w:rPr>
          <w:rFonts w:hint="eastAsia" w:ascii="仿宋_GB2312"/>
          <w:sz w:val="32"/>
          <w:szCs w:val="32"/>
        </w:rPr>
        <w:t>借款学生直接向所属县（市、区）学生资助中心申请开具非恶意逾期证明时，由县（市、区）学生资助中心登陆助学贷款信息管理系统，在“查询统计—学生台账”核实逾期本金和利息是否已全部清偿。对确已清偿所有合同逾期本息的，县（市、区）学生资助管理中心根据附件5格式模板，结合学生对逾期原因的解释说明和催收记录，录入“逾期原因”后，将纸质版打印上报开行河南分行审核。结清证明由县中心在申请与合同审查—明细导出，填写“国家开发银行国家助学贷款河南管理分中心”，县中心盖章；分行审核学生还款情况后加盖公章，由县（市、区）学生资助管理中心统一领取交付学生。</w:t>
      </w:r>
    </w:p>
    <w:p>
      <w:pPr>
        <w:widowControl w:val="0"/>
        <w:ind w:firstLine="640" w:firstLineChars="200"/>
        <w:rPr>
          <w:rFonts w:hint="eastAsia" w:ascii="黑体" w:hAnsi="黑体" w:eastAsia="黑体"/>
          <w:sz w:val="32"/>
          <w:szCs w:val="32"/>
        </w:rPr>
      </w:pPr>
      <w:r>
        <w:rPr>
          <w:rFonts w:hint="eastAsia" w:ascii="黑体" w:hAnsi="黑体" w:eastAsia="黑体"/>
          <w:sz w:val="32"/>
          <w:szCs w:val="32"/>
        </w:rPr>
        <w:t>三、高校需要完成的工作</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（一）建立工作联系机制</w:t>
      </w:r>
    </w:p>
    <w:p>
      <w:pPr>
        <w:widowControl w:val="0"/>
        <w:ind w:firstLine="640" w:firstLineChars="200"/>
        <w:rPr>
          <w:rFonts w:hint="eastAsia" w:ascii="仿宋_GB2312"/>
          <w:sz w:val="32"/>
          <w:szCs w:val="32"/>
        </w:rPr>
      </w:pPr>
      <w:r>
        <w:rPr>
          <w:rFonts w:hint="eastAsia" w:ascii="仿宋_GB2312"/>
          <w:sz w:val="32"/>
          <w:szCs w:val="32"/>
        </w:rPr>
        <w:t>我省已建立全省国家助学贷款企业微信，方便上下级，高校与市县等各方沟通与联系。各高校于7月13日之前，填写《河南省高校生源地信用助学贷款联系人员名单》（附件6，Excel格式）报送至省学生资助管理中心。请没有加入企业微信或加入人数不符合要求的高校（每所高校至少2人，资助中心主任必须加入），在7月18日前填报《河南省国家助学贷款企业微信信息采集表》（附件7，Excel格式）报送至省学生资助中心，待系统导入企业微信后及时激活个人信息。</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（二）继续做好诚信宣传等教育工作</w:t>
      </w:r>
    </w:p>
    <w:p>
      <w:pPr>
        <w:widowControl w:val="0"/>
        <w:ind w:firstLine="640" w:firstLineChars="200"/>
        <w:rPr>
          <w:rFonts w:hint="eastAsia" w:ascii="仿宋_GB2312"/>
          <w:sz w:val="32"/>
          <w:szCs w:val="32"/>
        </w:rPr>
      </w:pPr>
      <w:r>
        <w:rPr>
          <w:rFonts w:hint="eastAsia" w:ascii="仿宋_GB2312"/>
          <w:sz w:val="32"/>
          <w:szCs w:val="32"/>
        </w:rPr>
        <w:t>各高校要抓住报到后、离校前和每年5月份的诚信宣传月等时间节点，采取召开报告会、讲座、座谈会以及组织大型专题活动等多种宣传形式将诚信教育跟各项育人活动紧密结合起来。既要注重金融知识宣传，又要加强自立自强教育，不断提高大学生的责任意识、感恩意识、风险防控意识、守信意识、自强成才意识，使学生充分认识到按时还款、保持良好信用记录的必要性和重要性，帮助学生树立诚信为荣、失信为耻的思想道德观念。</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（三）做好生源地信用助学贷款信息管理系统的维护工作</w:t>
      </w:r>
    </w:p>
    <w:p>
      <w:pPr>
        <w:widowControl w:val="0"/>
        <w:ind w:firstLine="640" w:firstLineChars="200"/>
        <w:rPr>
          <w:rFonts w:hint="eastAsia" w:ascii="仿宋_GB2312"/>
          <w:sz w:val="32"/>
          <w:szCs w:val="32"/>
        </w:rPr>
      </w:pPr>
      <w:r>
        <w:rPr>
          <w:rFonts w:hint="eastAsia" w:ascii="仿宋_GB2312"/>
          <w:sz w:val="32"/>
          <w:szCs w:val="32"/>
        </w:rPr>
        <w:t>各高校要于7月13日之前，完成高校行政区域、联系地址、联系电话、收费账户等信息维护和确认工作，录入并维护本校学费和住宿费收费标准。如有关基本信息发生变化，高校应及时与省教育厅和国家开发银行河南省分行联系，说明情况并更正信息。</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（四）组织做好在校生的续贷工作</w:t>
      </w:r>
    </w:p>
    <w:p>
      <w:pPr>
        <w:widowControl w:val="0"/>
        <w:ind w:firstLine="640" w:firstLineChars="200"/>
        <w:rPr>
          <w:rFonts w:hint="eastAsia" w:ascii="仿宋_GB2312"/>
          <w:sz w:val="32"/>
          <w:szCs w:val="32"/>
        </w:rPr>
      </w:pPr>
      <w:r>
        <w:rPr>
          <w:rFonts w:hint="eastAsia" w:ascii="仿宋_GB2312"/>
          <w:sz w:val="32"/>
          <w:szCs w:val="32"/>
        </w:rPr>
        <w:t>高校要组织有生源地信用助学贷款续贷需求的学生,每年至少登录学生在线服务系统2次，并完成个人信息的更新和维护。</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（五）做好生源地信用助学贷款的回执录入工作</w:t>
      </w:r>
    </w:p>
    <w:p>
      <w:pPr>
        <w:widowControl w:val="0"/>
        <w:ind w:firstLine="640" w:firstLineChars="200"/>
        <w:rPr>
          <w:rFonts w:hint="eastAsia" w:ascii="仿宋_GB2312"/>
          <w:sz w:val="32"/>
          <w:szCs w:val="32"/>
        </w:rPr>
      </w:pPr>
      <w:r>
        <w:rPr>
          <w:rFonts w:hint="eastAsia" w:ascii="仿宋_GB2312"/>
          <w:sz w:val="32"/>
          <w:szCs w:val="32"/>
        </w:rPr>
        <w:t>高校经办人要登陆生源地信用助学贷款信息管理系统，使用回执录入模块，及时录入办理生源地信用助学贷款学生的回执。学生持合同回执验证短信或《受理证明》加盖电子公章（非彩色打印时公章显示为黑色），也应录入回执。若借款学生的学号、院系和专业有误，高校经办人可以在录入回执的过程中直接修改。</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（六）做好已办理生源地信用助学贷款学生的退费工作</w:t>
      </w:r>
    </w:p>
    <w:p>
      <w:pPr>
        <w:widowControl w:val="0"/>
        <w:ind w:firstLine="640" w:firstLineChars="200"/>
        <w:rPr>
          <w:rFonts w:hint="eastAsia" w:ascii="仿宋_GB2312"/>
          <w:sz w:val="32"/>
          <w:szCs w:val="32"/>
        </w:rPr>
      </w:pPr>
      <w:r>
        <w:rPr>
          <w:rFonts w:hint="eastAsia" w:ascii="仿宋_GB2312"/>
          <w:sz w:val="32"/>
          <w:szCs w:val="32"/>
        </w:rPr>
        <w:t>部分高校要求学生提前将学费和住宿费存入高校指定账户，对已缴纳学费和住宿费且办理生源地信用助学贷款的学生，高校要在学费和住宿费划拨至高校账户60个工作日内，将学生已缴纳的学费返还到学生手中。</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（七）做好学籍异动学生的信息变更工作</w:t>
      </w:r>
    </w:p>
    <w:p>
      <w:pPr>
        <w:widowControl w:val="0"/>
        <w:ind w:firstLine="640" w:firstLineChars="200"/>
        <w:rPr>
          <w:rFonts w:hint="eastAsia" w:ascii="仿宋_GB2312"/>
          <w:sz w:val="32"/>
          <w:szCs w:val="32"/>
        </w:rPr>
      </w:pPr>
      <w:r>
        <w:rPr>
          <w:rFonts w:hint="eastAsia" w:ascii="仿宋_GB2312"/>
          <w:sz w:val="32"/>
          <w:szCs w:val="32"/>
        </w:rPr>
        <w:t>高校要将借款学生升学、休学、转学、退学、出国、被开除学籍、死亡以及其他不能正常完成学业等学籍异动情况及时告知县级学生资助中心，并提醒借款学生或者共同借款人及时前往县级学生资助中心办理合同变更。</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（八）组织毕业生完成毕业确认工作</w:t>
      </w:r>
    </w:p>
    <w:p>
      <w:pPr>
        <w:widowControl w:val="0"/>
        <w:ind w:firstLine="640" w:firstLineChars="200"/>
        <w:rPr>
          <w:rFonts w:hint="eastAsia" w:ascii="仿宋_GB2312"/>
          <w:sz w:val="32"/>
          <w:szCs w:val="32"/>
        </w:rPr>
      </w:pPr>
      <w:r>
        <w:rPr>
          <w:rFonts w:hint="eastAsia" w:ascii="仿宋_GB2312"/>
          <w:sz w:val="32"/>
          <w:szCs w:val="32"/>
        </w:rPr>
        <w:t>借款学生毕业前，各高校要组织、督促学生登录学生在线服务系统填写就业单位相关信息，更新联系方式完成毕业确认工作。各高校应确保每一名借款学生离校前完成毕业确认，并加强抽查审核，提高毕业确认信息准确率。</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（九）加强消费引导远离不良贷款</w:t>
      </w:r>
    </w:p>
    <w:p>
      <w:pPr>
        <w:widowControl w:val="0"/>
        <w:ind w:firstLine="640" w:firstLineChars="200"/>
        <w:rPr>
          <w:rFonts w:hint="eastAsia" w:ascii="仿宋_GB2312"/>
          <w:sz w:val="32"/>
          <w:szCs w:val="32"/>
        </w:rPr>
      </w:pPr>
      <w:r>
        <w:rPr>
          <w:rFonts w:hint="eastAsia" w:ascii="仿宋_GB2312"/>
          <w:sz w:val="32"/>
          <w:szCs w:val="32"/>
        </w:rPr>
        <w:t>各高校要切实担负起学生管理的主体责任，加强对学生的金融知识教育，引导学生树立正确的消费观，切实维护学生权益和校园稳定。一要大力开展金融知识普及教育，重点普及预防金融诈骗、电信诈骗和违法高利贷等方面的知识，切实提高大学生自我保护意识、金融安全防范意识。二要全面引导学生树立正确的消费观，将培养学生勤俭节约意识与学生日常思政教育相整合，引导学生树立科学、理性、健康的消费观。三要建立日常监测机制，密切关注学生异常消费行为，努力做到早防范、早教育、早发现，早处置。</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（十）密切关注学生就业情况</w:t>
      </w:r>
    </w:p>
    <w:p>
      <w:pPr>
        <w:widowControl w:val="0"/>
        <w:ind w:firstLine="640" w:firstLineChars="200"/>
        <w:rPr>
          <w:rFonts w:hint="eastAsia" w:ascii="仿宋_GB2312"/>
          <w:sz w:val="32"/>
          <w:szCs w:val="32"/>
        </w:rPr>
      </w:pPr>
      <w:r>
        <w:rPr>
          <w:rFonts w:hint="eastAsia" w:ascii="仿宋_GB2312"/>
          <w:sz w:val="32"/>
          <w:szCs w:val="32"/>
        </w:rPr>
        <w:t>各高校要密切关注家庭经济困难学生的就业情况，积极帮助其提升综合素质和就业能力，要继续开拓思路，充分发挥自身优势，联合企业客户和就业服务平台通过举办专场招聘会、提供实习岗位和开展应聘求职技能培训等方式搭建就业桥梁，帮助家庭经济困难学生顺利就业。</w:t>
      </w:r>
    </w:p>
    <w:p>
      <w:pPr>
        <w:widowControl w:val="0"/>
        <w:ind w:firstLine="640" w:firstLineChars="200"/>
        <w:rPr>
          <w:rFonts w:hint="eastAsia" w:ascii="仿宋_GB2312"/>
          <w:sz w:val="32"/>
          <w:szCs w:val="32"/>
        </w:rPr>
      </w:pPr>
      <w:r>
        <w:rPr>
          <w:rFonts w:hint="eastAsia" w:ascii="仿宋_GB2312"/>
          <w:sz w:val="32"/>
          <w:szCs w:val="32"/>
        </w:rPr>
        <w:t>各高校要在做好高校国家助学贷款相关工作的同时，按上述要求切实做好生源地信用助学贷款的各项工作，省教育厅将把生源地信用助学贷款工作开展情况作为高校学生资助工作绩效评价的一项重要内容。</w:t>
      </w:r>
    </w:p>
    <w:p>
      <w:pPr>
        <w:widowControl w:val="0"/>
        <w:ind w:firstLine="640" w:firstLineChars="200"/>
        <w:rPr>
          <w:rFonts w:hint="eastAsia" w:ascii="黑体" w:hAnsi="黑体" w:eastAsia="黑体"/>
          <w:sz w:val="32"/>
          <w:szCs w:val="32"/>
        </w:rPr>
      </w:pPr>
      <w:r>
        <w:rPr>
          <w:rFonts w:hint="eastAsia" w:ascii="黑体" w:hAnsi="黑体" w:eastAsia="黑体"/>
          <w:sz w:val="32"/>
          <w:szCs w:val="32"/>
        </w:rPr>
        <w:t>四、工作要求</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（一）落实落细政策，提高资助水平</w:t>
      </w:r>
    </w:p>
    <w:p>
      <w:pPr>
        <w:widowControl w:val="0"/>
        <w:ind w:firstLine="640" w:firstLineChars="200"/>
        <w:rPr>
          <w:rFonts w:hint="eastAsia" w:ascii="仿宋_GB2312"/>
          <w:sz w:val="32"/>
          <w:szCs w:val="32"/>
        </w:rPr>
      </w:pPr>
      <w:r>
        <w:rPr>
          <w:rFonts w:hint="eastAsia" w:ascii="仿宋_GB2312"/>
          <w:sz w:val="32"/>
          <w:szCs w:val="32"/>
        </w:rPr>
        <w:t>要坚持贯彻国家助学贷款政策不打折扣，执行各项规定不留死角，</w:t>
      </w:r>
      <w:r>
        <w:rPr>
          <w:rFonts w:hint="eastAsia" w:ascii="仿宋_GB2312" w:hAnsi="仿宋_GB2312" w:cs="仿宋_GB2312"/>
          <w:sz w:val="32"/>
          <w:szCs w:val="32"/>
        </w:rPr>
        <w:t>要继续</w:t>
      </w:r>
      <w:r>
        <w:rPr>
          <w:rFonts w:hint="eastAsia" w:ascii="仿宋_GB2312"/>
          <w:sz w:val="32"/>
          <w:szCs w:val="32"/>
        </w:rPr>
        <w:t>认真落实“教财〔2020〕4号”“财教〔2021〕164号”“财教〔2022〕110号”等文件规定，将国家助学贷款额度、国家助学贷款可用于弥补生活费、国家助学贷款免息和本金延长偿还等优</w:t>
      </w:r>
      <w:r>
        <w:rPr>
          <w:rFonts w:hint="eastAsia" w:ascii="仿宋_GB2312"/>
          <w:spacing w:val="-4"/>
          <w:sz w:val="32"/>
          <w:szCs w:val="32"/>
        </w:rPr>
        <w:t>惠政策落实到位，将在校贴息政策和还款救助等措施做实做细，使家庭经济困难学生充分享受国家资助政策的支持和保障。</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（二）扩大覆盖区域，坚持应贷尽贷</w:t>
      </w:r>
    </w:p>
    <w:p>
      <w:pPr>
        <w:widowControl w:val="0"/>
        <w:ind w:firstLine="640" w:firstLineChars="200"/>
        <w:rPr>
          <w:rFonts w:hint="eastAsia" w:ascii="仿宋_GB2312"/>
          <w:sz w:val="32"/>
          <w:szCs w:val="32"/>
        </w:rPr>
      </w:pPr>
      <w:r>
        <w:rPr>
          <w:rFonts w:hint="eastAsia" w:ascii="仿宋_GB2312"/>
          <w:sz w:val="32"/>
          <w:szCs w:val="32"/>
        </w:rPr>
        <w:t>认真开展对家庭经济困难学生助学贷款需求的摸底工作，扩大生源地信用助学贷款覆盖区域，实现贷款资助县域全覆盖，对家庭经济困难学生应贷尽贷，不设贷款人数或规模上限，确保所有家庭经济困难学生的贷款需求得到满足。</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（三）摸排疫情、汛情等特殊情况影响，做到应助尽助</w:t>
      </w:r>
    </w:p>
    <w:p>
      <w:pPr>
        <w:widowControl w:val="0"/>
        <w:ind w:firstLine="640" w:firstLineChars="200"/>
        <w:rPr>
          <w:rFonts w:hint="eastAsia" w:ascii="仿宋_GB2312"/>
          <w:sz w:val="32"/>
          <w:szCs w:val="32"/>
        </w:rPr>
      </w:pPr>
      <w:r>
        <w:rPr>
          <w:rFonts w:hint="eastAsia" w:ascii="仿宋_GB2312"/>
          <w:sz w:val="32"/>
          <w:szCs w:val="32"/>
        </w:rPr>
        <w:t>及时、准确掌握疫情、汛情等特殊情况影响的学生及其家庭经济情况，开展对家庭经济困难学生的帮扶工作，及时摸排对出现困难的家庭及时给予国家助学贷款等资助，加强支持保障。</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（四）关注高职扩招，加强支持保障</w:t>
      </w:r>
    </w:p>
    <w:p>
      <w:pPr>
        <w:widowControl w:val="0"/>
        <w:ind w:firstLine="640" w:firstLineChars="200"/>
        <w:rPr>
          <w:rFonts w:hint="eastAsia" w:ascii="仿宋_GB2312"/>
          <w:sz w:val="32"/>
          <w:szCs w:val="32"/>
        </w:rPr>
      </w:pPr>
      <w:r>
        <w:rPr>
          <w:rFonts w:hint="eastAsia" w:ascii="仿宋_GB2312"/>
          <w:sz w:val="32"/>
          <w:szCs w:val="32"/>
        </w:rPr>
        <w:t>落实《教育部2021年工作要点》和《高职扩招专项工作实施方案》（教职成〔2019〕12号）等文件精神，面向高职扩招对象，加强高校资助政策宣传，针对其合理安排国家助学贷款受理和发放时间，切实做好相关资助工作，保障扩招人员不因家庭经济困难而放弃入学。</w:t>
      </w:r>
    </w:p>
    <w:p>
      <w:pPr>
        <w:widowControl w:val="0"/>
        <w:ind w:firstLine="640" w:firstLineChars="200"/>
        <w:rPr>
          <w:rFonts w:hint="eastAsia" w:ascii="楷体_GB2312" w:eastAsia="楷体_GB2312"/>
          <w:sz w:val="32"/>
          <w:szCs w:val="32"/>
        </w:rPr>
      </w:pPr>
      <w:r>
        <w:rPr>
          <w:rFonts w:hint="eastAsia" w:ascii="楷体_GB2312" w:eastAsia="楷体_GB2312"/>
          <w:sz w:val="32"/>
          <w:szCs w:val="32"/>
        </w:rPr>
        <w:t>（五）聚焦特困学生，做好还款救助</w:t>
      </w:r>
    </w:p>
    <w:p>
      <w:pPr>
        <w:widowControl w:val="0"/>
        <w:ind w:firstLine="640" w:firstLineChars="200"/>
        <w:rPr>
          <w:rFonts w:hint="eastAsia" w:ascii="仿宋_GB2312"/>
          <w:sz w:val="32"/>
          <w:szCs w:val="32"/>
        </w:rPr>
      </w:pPr>
      <w:r>
        <w:rPr>
          <w:rFonts w:hint="eastAsia" w:ascii="仿宋_GB2312"/>
          <w:sz w:val="32"/>
          <w:szCs w:val="32"/>
        </w:rPr>
        <w:t>各县级学生资助中心要及时启动还款救助工作，主动提供救助，减轻学生及其家庭的经济压力。县级学生资助中心要定期摸底统计死亡、失踪、丧失劳动能力或民事行为能力、本人或家庭遭遇重大自然灾害、本人或家庭成员罹患重大疾病等学生的情况，并协助学生或其家人申请还款救助。2022年度以前发生的，还款救助工作，仍由县（市、区）使用以往年度风险补偿金结余奖励资金进行还款救助，2022年度以后发生的，待省出台相关实施细则后，由省学生资助中心统筹进行还款救助。</w:t>
      </w:r>
    </w:p>
    <w:p>
      <w:pPr>
        <w:widowControl w:val="0"/>
        <w:ind w:firstLine="624" w:firstLineChars="200"/>
        <w:rPr>
          <w:rFonts w:hint="eastAsia" w:ascii="仿宋_GB2312"/>
          <w:spacing w:val="-4"/>
          <w:sz w:val="32"/>
          <w:szCs w:val="32"/>
        </w:rPr>
      </w:pPr>
      <w:r>
        <w:rPr>
          <w:rFonts w:hint="eastAsia" w:ascii="仿宋_GB2312"/>
          <w:spacing w:val="-4"/>
          <w:sz w:val="32"/>
          <w:szCs w:val="32"/>
        </w:rPr>
        <w:t>各市、县（市、区）和各学校要充分认识到大力开展国家助学贷款工作的重要意义，树立服务意识，加大工作力度，</w:t>
      </w:r>
      <w:r>
        <w:rPr>
          <w:rFonts w:hint="eastAsia" w:ascii="仿宋_GB2312"/>
          <w:sz w:val="32"/>
          <w:szCs w:val="32"/>
        </w:rPr>
        <w:t>秉承好事办好、实事办实的工作原则，紧密合作，多措并举，</w:t>
      </w:r>
      <w:r>
        <w:rPr>
          <w:rFonts w:hint="eastAsia" w:ascii="仿宋_GB2312"/>
          <w:spacing w:val="-4"/>
          <w:sz w:val="32"/>
          <w:szCs w:val="32"/>
        </w:rPr>
        <w:t>有效落实国家助学贷款政策，提高助学贷款资助水平和工作质量，确保每一个学生不因家庭经济困难失学，以实际行动迎接党的二十大胜利召开。</w:t>
      </w:r>
    </w:p>
    <w:p>
      <w:pPr>
        <w:widowControl w:val="0"/>
        <w:ind w:firstLine="640" w:firstLineChars="200"/>
        <w:rPr>
          <w:rFonts w:hint="eastAsia" w:ascii="仿宋_GB2312"/>
          <w:sz w:val="32"/>
          <w:szCs w:val="32"/>
        </w:rPr>
      </w:pPr>
      <w:r>
        <w:rPr>
          <w:rFonts w:hint="eastAsia" w:ascii="仿宋_GB2312"/>
          <w:sz w:val="32"/>
          <w:szCs w:val="32"/>
        </w:rPr>
        <w:t>联 系 人：徐晓伟          联系电话：0371-65798539</w:t>
      </w:r>
    </w:p>
    <w:p>
      <w:pPr>
        <w:widowControl w:val="0"/>
        <w:ind w:firstLine="640" w:firstLineChars="200"/>
        <w:rPr>
          <w:rFonts w:hint="eastAsia" w:ascii="仿宋_GB2312"/>
          <w:sz w:val="32"/>
          <w:szCs w:val="32"/>
        </w:rPr>
      </w:pPr>
      <w:r>
        <w:rPr>
          <w:rFonts w:hint="eastAsia" w:ascii="仿宋_GB2312"/>
          <w:sz w:val="32"/>
          <w:szCs w:val="32"/>
        </w:rPr>
        <w:t>电子邮箱：hnsyd@qq.com    邮编：450000</w:t>
      </w:r>
    </w:p>
    <w:p>
      <w:pPr>
        <w:widowControl w:val="0"/>
        <w:ind w:firstLine="640" w:firstLineChars="200"/>
        <w:rPr>
          <w:rFonts w:hint="eastAsia" w:ascii="仿宋_GB2312"/>
          <w:spacing w:val="-10"/>
          <w:sz w:val="32"/>
          <w:szCs w:val="32"/>
        </w:rPr>
      </w:pPr>
      <w:r>
        <w:rPr>
          <w:rFonts w:hint="eastAsia" w:ascii="仿宋_GB2312"/>
          <w:sz w:val="32"/>
          <w:szCs w:val="32"/>
        </w:rPr>
        <w:t>材料寄送地址：</w:t>
      </w:r>
      <w:r>
        <w:rPr>
          <w:rFonts w:hint="eastAsia" w:ascii="仿宋_GB2312"/>
          <w:spacing w:val="-10"/>
          <w:sz w:val="32"/>
          <w:szCs w:val="32"/>
        </w:rPr>
        <w:t>郑州市正光路22号行署国际广场E座305室</w:t>
      </w:r>
    </w:p>
    <w:p>
      <w:pPr>
        <w:widowControl w:val="0"/>
        <w:ind w:firstLine="640" w:firstLineChars="200"/>
        <w:rPr>
          <w:rFonts w:hint="eastAsia" w:ascii="仿宋_GB2312"/>
          <w:sz w:val="32"/>
          <w:szCs w:val="32"/>
        </w:rPr>
      </w:pPr>
    </w:p>
    <w:p>
      <w:pPr>
        <w:widowControl w:val="0"/>
        <w:ind w:firstLine="640" w:firstLineChars="200"/>
        <w:rPr>
          <w:rFonts w:hint="eastAsia" w:ascii="仿宋_GB2312"/>
          <w:sz w:val="32"/>
          <w:szCs w:val="32"/>
        </w:rPr>
      </w:pPr>
      <w:r>
        <w:rPr>
          <w:rFonts w:hint="eastAsia" w:ascii="仿宋_GB2312"/>
          <w:sz w:val="32"/>
          <w:szCs w:val="32"/>
        </w:rPr>
        <w:t>附件：1.2022—2023学年度生源地信用助学贷款额度预测表</w:t>
      </w:r>
    </w:p>
    <w:p>
      <w:pPr>
        <w:widowControl w:val="0"/>
        <w:ind w:firstLine="1600" w:firstLineChars="500"/>
        <w:rPr>
          <w:rFonts w:hint="eastAsia" w:ascii="仿宋_GB2312"/>
          <w:sz w:val="32"/>
          <w:szCs w:val="32"/>
        </w:rPr>
      </w:pPr>
      <w:r>
        <w:rPr>
          <w:rFonts w:hint="eastAsia" w:ascii="仿宋_GB2312"/>
          <w:sz w:val="32"/>
          <w:szCs w:val="32"/>
        </w:rPr>
        <w:t>2.市、县两级学生资助工作人员名单</w:t>
      </w:r>
    </w:p>
    <w:p>
      <w:pPr>
        <w:widowControl w:val="0"/>
        <w:ind w:firstLine="1600" w:firstLineChars="500"/>
        <w:rPr>
          <w:rFonts w:hint="eastAsia" w:ascii="仿宋_GB2312"/>
          <w:sz w:val="32"/>
          <w:szCs w:val="32"/>
        </w:rPr>
      </w:pPr>
      <w:r>
        <w:rPr>
          <w:rFonts w:hint="eastAsia" w:ascii="仿宋_GB2312"/>
          <w:sz w:val="32"/>
          <w:szCs w:val="32"/>
        </w:rPr>
        <w:t>3.国家助学贷款电子口令牌申请表</w:t>
      </w:r>
    </w:p>
    <w:p>
      <w:pPr>
        <w:widowControl w:val="0"/>
        <w:ind w:firstLine="1600" w:firstLineChars="500"/>
        <w:rPr>
          <w:rFonts w:hint="eastAsia" w:ascii="仿宋_GB2312"/>
          <w:sz w:val="32"/>
          <w:szCs w:val="32"/>
        </w:rPr>
      </w:pPr>
      <w:r>
        <w:rPr>
          <w:rFonts w:hint="eastAsia" w:ascii="仿宋_GB2312"/>
          <w:sz w:val="32"/>
          <w:szCs w:val="32"/>
        </w:rPr>
        <w:t>4. XX县生源地信用助学贷款工作周报</w:t>
      </w:r>
    </w:p>
    <w:p>
      <w:pPr>
        <w:widowControl w:val="0"/>
        <w:ind w:firstLine="1600" w:firstLineChars="500"/>
        <w:rPr>
          <w:rFonts w:hint="eastAsia" w:ascii="仿宋_GB2312"/>
          <w:sz w:val="32"/>
          <w:szCs w:val="32"/>
        </w:rPr>
      </w:pPr>
      <w:r>
        <w:rPr>
          <w:rFonts w:hint="eastAsia" w:ascii="仿宋_GB2312"/>
          <w:sz w:val="32"/>
          <w:szCs w:val="32"/>
        </w:rPr>
        <w:t>5.关于XXX助学贷款非恶意逾期情况的证明</w:t>
      </w:r>
    </w:p>
    <w:p>
      <w:pPr>
        <w:widowControl w:val="0"/>
        <w:ind w:firstLine="1600" w:firstLineChars="500"/>
        <w:rPr>
          <w:rFonts w:hint="eastAsia" w:ascii="仿宋_GB2312"/>
          <w:sz w:val="32"/>
          <w:szCs w:val="32"/>
        </w:rPr>
      </w:pPr>
      <w:r>
        <w:rPr>
          <w:rFonts w:hint="eastAsia" w:ascii="仿宋_GB2312"/>
          <w:sz w:val="32"/>
          <w:szCs w:val="32"/>
        </w:rPr>
        <w:t>6.河南省高校生源地信用助学贷款联系人员名单</w:t>
      </w:r>
    </w:p>
    <w:p>
      <w:pPr>
        <w:widowControl w:val="0"/>
        <w:ind w:firstLine="1600" w:firstLineChars="500"/>
        <w:rPr>
          <w:rFonts w:hint="eastAsia" w:ascii="仿宋_GB2312"/>
          <w:sz w:val="32"/>
          <w:szCs w:val="32"/>
        </w:rPr>
      </w:pPr>
      <w:r>
        <w:rPr>
          <w:rFonts w:hint="eastAsia" w:ascii="仿宋_GB2312"/>
          <w:sz w:val="32"/>
          <w:szCs w:val="32"/>
        </w:rPr>
        <w:t>7.河南省国家助学贷款企业微信信息采集表</w:t>
      </w:r>
    </w:p>
    <w:p>
      <w:pPr>
        <w:widowControl w:val="0"/>
        <w:tabs>
          <w:tab w:val="left" w:pos="5573"/>
          <w:tab w:val="right" w:pos="7706"/>
        </w:tabs>
        <w:autoSpaceDE w:val="0"/>
        <w:autoSpaceDN w:val="0"/>
        <w:ind w:firstLine="640" w:firstLineChars="200"/>
        <w:rPr>
          <w:rFonts w:hint="eastAsia" w:ascii="仿宋_GB2312"/>
          <w:kern w:val="0"/>
          <w:sz w:val="32"/>
          <w:szCs w:val="32"/>
        </w:rPr>
      </w:pPr>
    </w:p>
    <w:p>
      <w:pPr>
        <w:widowControl w:val="0"/>
        <w:tabs>
          <w:tab w:val="left" w:pos="5573"/>
          <w:tab w:val="right" w:pos="7706"/>
        </w:tabs>
        <w:autoSpaceDE w:val="0"/>
        <w:autoSpaceDN w:val="0"/>
        <w:ind w:firstLine="640" w:firstLineChars="200"/>
        <w:rPr>
          <w:rFonts w:hint="eastAsia" w:ascii="仿宋_GB2312"/>
          <w:kern w:val="0"/>
          <w:sz w:val="32"/>
          <w:szCs w:val="32"/>
        </w:rPr>
      </w:pPr>
    </w:p>
    <w:p>
      <w:pPr>
        <w:widowControl w:val="0"/>
        <w:tabs>
          <w:tab w:val="left" w:pos="5573"/>
          <w:tab w:val="right" w:pos="7706"/>
        </w:tabs>
        <w:autoSpaceDE w:val="0"/>
        <w:autoSpaceDN w:val="0"/>
        <w:ind w:firstLine="640" w:firstLineChars="200"/>
        <w:rPr>
          <w:rFonts w:hint="eastAsia" w:ascii="仿宋_GB2312"/>
          <w:kern w:val="0"/>
          <w:sz w:val="32"/>
          <w:szCs w:val="32"/>
        </w:rPr>
      </w:pPr>
    </w:p>
    <w:p>
      <w:pPr>
        <w:pStyle w:val="3"/>
        <w:jc w:val="center"/>
        <w:rPr>
          <w:rFonts w:hint="eastAsia" w:ascii="仿宋_GB2312" w:hAnsi="Times New Roman" w:eastAsia="仿宋_GB2312"/>
          <w:sz w:val="32"/>
          <w:szCs w:val="32"/>
        </w:rPr>
      </w:pPr>
      <w:r>
        <w:rPr>
          <w:rFonts w:hint="eastAsia" w:ascii="仿宋_GB2312" w:hAnsi="Times New Roman" w:eastAsia="仿宋_GB2312"/>
          <w:spacing w:val="100"/>
          <w:sz w:val="32"/>
          <w:szCs w:val="32"/>
        </w:rPr>
        <w:t>河南省教育厅</w:t>
      </w:r>
      <w:r>
        <w:rPr>
          <w:rFonts w:hint="eastAsia" w:ascii="仿宋_GB2312" w:hAnsi="Times New Roman" w:eastAsia="仿宋_GB2312"/>
          <w:spacing w:val="60"/>
          <w:sz w:val="32"/>
          <w:szCs w:val="32"/>
          <w:lang w:eastAsia="zh-CN"/>
        </w:rPr>
        <w:t xml:space="preserve">   </w:t>
      </w:r>
      <w:r>
        <w:rPr>
          <w:rFonts w:hint="eastAsia" w:ascii="仿宋_GB2312" w:hAnsi="Times New Roman" w:eastAsia="仿宋_GB2312"/>
          <w:sz w:val="32"/>
          <w:szCs w:val="32"/>
        </w:rPr>
        <w:t>国家开发银行河南省分行</w:t>
      </w:r>
    </w:p>
    <w:p>
      <w:pPr>
        <w:pStyle w:val="3"/>
        <w:ind w:firstLine="5478" w:firstLineChars="1712"/>
        <w:rPr>
          <w:rFonts w:hint="eastAsia" w:ascii="仿宋_GB2312" w:eastAsia="仿宋_GB2312"/>
          <w:sz w:val="32"/>
          <w:szCs w:val="32"/>
        </w:rPr>
        <w:sectPr>
          <w:footerReference r:id="rId3" w:type="default"/>
          <w:pgSz w:w="11906" w:h="16838"/>
          <w:pgMar w:top="1644" w:right="1361" w:bottom="2268" w:left="1531" w:header="0" w:footer="1814" w:gutter="0"/>
          <w:cols w:space="720" w:num="1"/>
          <w:docGrid w:type="linesAndChars" w:linePitch="587" w:charSpace="95"/>
        </w:sectPr>
      </w:pPr>
      <w:r>
        <w:rPr>
          <w:rFonts w:hint="eastAsia" w:ascii="仿宋_GB2312" w:hAnsi="Times New Roman" w:eastAsia="仿宋_GB2312"/>
          <w:sz w:val="32"/>
          <w:szCs w:val="32"/>
        </w:rPr>
        <w:t>20</w:t>
      </w:r>
      <w:r>
        <w:rPr>
          <w:rFonts w:hint="eastAsia" w:ascii="仿宋_GB2312" w:hAnsi="Times New Roman" w:eastAsia="仿宋_GB2312"/>
          <w:sz w:val="32"/>
          <w:szCs w:val="32"/>
          <w:lang w:eastAsia="zh-CN"/>
        </w:rPr>
        <w:t>21</w:t>
      </w:r>
      <w:r>
        <w:rPr>
          <w:rFonts w:hint="eastAsia" w:ascii="仿宋_GB2312" w:hAnsi="Times New Roman" w:eastAsia="仿宋_GB2312"/>
          <w:sz w:val="32"/>
          <w:szCs w:val="32"/>
        </w:rPr>
        <w:t>年</w:t>
      </w:r>
      <w:r>
        <w:rPr>
          <w:rFonts w:hint="eastAsia" w:ascii="仿宋_GB2312" w:hAnsi="Times New Roman" w:eastAsia="仿宋_GB2312"/>
          <w:sz w:val="32"/>
          <w:szCs w:val="32"/>
          <w:lang w:eastAsia="zh-CN"/>
        </w:rPr>
        <w:t>6</w:t>
      </w:r>
      <w:r>
        <w:rPr>
          <w:rFonts w:hint="eastAsia" w:ascii="仿宋_GB2312" w:hAnsi="Times New Roman" w:eastAsia="仿宋_GB2312"/>
          <w:sz w:val="32"/>
          <w:szCs w:val="32"/>
        </w:rPr>
        <w:t>月</w:t>
      </w:r>
      <w:r>
        <w:rPr>
          <w:rFonts w:hint="eastAsia" w:ascii="仿宋_GB2312" w:hAnsi="Times New Roman" w:eastAsia="仿宋_GB2312"/>
          <w:sz w:val="32"/>
          <w:szCs w:val="32"/>
          <w:lang w:eastAsia="zh-CN"/>
        </w:rPr>
        <w:t>21日</w:t>
      </w:r>
    </w:p>
    <w:p>
      <w:pPr>
        <w:rPr>
          <w:rFonts w:hint="eastAsia" w:ascii="黑体" w:hAnsi="宋体" w:eastAsia="黑体" w:cs="宋体"/>
          <w:kern w:val="0"/>
          <w:sz w:val="32"/>
          <w:szCs w:val="32"/>
        </w:rPr>
      </w:pPr>
      <w:r>
        <w:rPr>
          <w:rFonts w:hint="eastAsia" w:ascii="黑体" w:hAnsi="宋体" w:eastAsia="黑体" w:cs="宋体"/>
          <w:kern w:val="0"/>
          <w:sz w:val="32"/>
          <w:szCs w:val="32"/>
        </w:rPr>
        <w:t>附件1</w:t>
      </w:r>
    </w:p>
    <w:p>
      <w:pPr>
        <w:snapToGrid w:val="0"/>
        <w:rPr>
          <w:rFonts w:hint="eastAsia" w:ascii="黑体" w:hAnsi="宋体" w:eastAsia="黑体" w:cs="宋体"/>
          <w:kern w:val="0"/>
        </w:rPr>
      </w:pPr>
    </w:p>
    <w:p>
      <w:pPr>
        <w:snapToGrid w:val="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2022—2023学年度生源地信用助学贷款</w:t>
      </w:r>
    </w:p>
    <w:p>
      <w:pPr>
        <w:snapToGrid w:val="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额度预测表</w:t>
      </w:r>
    </w:p>
    <w:tbl>
      <w:tblPr>
        <w:tblStyle w:val="9"/>
        <w:tblW w:w="0" w:type="auto"/>
        <w:jc w:val="center"/>
        <w:tblLayout w:type="fixed"/>
        <w:tblCellMar>
          <w:top w:w="0" w:type="dxa"/>
          <w:left w:w="108" w:type="dxa"/>
          <w:bottom w:w="0" w:type="dxa"/>
          <w:right w:w="108" w:type="dxa"/>
        </w:tblCellMar>
      </w:tblPr>
      <w:tblGrid>
        <w:gridCol w:w="2572"/>
        <w:gridCol w:w="1240"/>
        <w:gridCol w:w="1240"/>
        <w:gridCol w:w="1240"/>
        <w:gridCol w:w="1395"/>
        <w:gridCol w:w="1395"/>
      </w:tblGrid>
      <w:tr>
        <w:tblPrEx>
          <w:tblCellMar>
            <w:top w:w="0" w:type="dxa"/>
            <w:left w:w="108" w:type="dxa"/>
            <w:bottom w:w="0" w:type="dxa"/>
            <w:right w:w="108" w:type="dxa"/>
          </w:tblCellMar>
        </w:tblPrEx>
        <w:trPr>
          <w:trHeight w:val="654" w:hRule="atLeast"/>
          <w:jc w:val="center"/>
        </w:trPr>
        <w:tc>
          <w:tcPr>
            <w:tcW w:w="257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宋体"/>
                <w:bCs/>
                <w:kern w:val="0"/>
                <w:sz w:val="24"/>
                <w:szCs w:val="24"/>
              </w:rPr>
            </w:pPr>
            <w:r>
              <w:rPr>
                <w:rFonts w:hint="eastAsia" w:ascii="黑体" w:hAnsi="黑体" w:eastAsia="黑体" w:cs="宋体"/>
                <w:bCs/>
                <w:kern w:val="0"/>
                <w:sz w:val="24"/>
                <w:szCs w:val="24"/>
              </w:rPr>
              <w:t>单位名称</w:t>
            </w:r>
          </w:p>
        </w:tc>
        <w:tc>
          <w:tcPr>
            <w:tcW w:w="3720" w:type="dxa"/>
            <w:gridSpan w:val="3"/>
            <w:tcBorders>
              <w:top w:val="single" w:color="auto" w:sz="4" w:space="0"/>
              <w:left w:val="nil"/>
              <w:bottom w:val="single" w:color="auto" w:sz="4" w:space="0"/>
              <w:right w:val="single" w:color="auto" w:sz="4" w:space="0"/>
            </w:tcBorders>
            <w:noWrap/>
            <w:vAlign w:val="center"/>
          </w:tcPr>
          <w:p>
            <w:pPr>
              <w:jc w:val="center"/>
              <w:rPr>
                <w:rFonts w:hint="eastAsia" w:ascii="黑体" w:hAnsi="黑体" w:eastAsia="黑体" w:cs="宋体"/>
                <w:bCs/>
                <w:kern w:val="0"/>
                <w:sz w:val="24"/>
                <w:szCs w:val="24"/>
              </w:rPr>
            </w:pPr>
            <w:r>
              <w:rPr>
                <w:rFonts w:hint="eastAsia" w:ascii="黑体" w:hAnsi="黑体" w:eastAsia="黑体" w:cs="宋体"/>
                <w:bCs/>
                <w:kern w:val="0"/>
                <w:sz w:val="24"/>
                <w:szCs w:val="24"/>
              </w:rPr>
              <w:t>最近三年被高校录取人数</w:t>
            </w:r>
          </w:p>
        </w:tc>
        <w:tc>
          <w:tcPr>
            <w:tcW w:w="2790" w:type="dxa"/>
            <w:gridSpan w:val="2"/>
            <w:tcBorders>
              <w:top w:val="single" w:color="auto" w:sz="4" w:space="0"/>
              <w:left w:val="nil"/>
              <w:bottom w:val="single" w:color="auto" w:sz="4" w:space="0"/>
              <w:right w:val="single" w:color="auto" w:sz="4" w:space="0"/>
            </w:tcBorders>
            <w:noWrap/>
            <w:vAlign w:val="center"/>
          </w:tcPr>
          <w:p>
            <w:pPr>
              <w:jc w:val="center"/>
              <w:rPr>
                <w:rFonts w:hint="eastAsia" w:ascii="黑体" w:hAnsi="黑体" w:eastAsia="黑体" w:cs="宋体"/>
                <w:bCs/>
                <w:kern w:val="0"/>
                <w:sz w:val="24"/>
                <w:szCs w:val="24"/>
              </w:rPr>
            </w:pPr>
            <w:r>
              <w:rPr>
                <w:rFonts w:hint="eastAsia" w:ascii="黑体" w:hAnsi="黑体" w:eastAsia="黑体" w:cs="宋体"/>
                <w:bCs/>
                <w:kern w:val="0"/>
                <w:sz w:val="24"/>
                <w:szCs w:val="24"/>
              </w:rPr>
              <w:t>2022年贷款预测</w:t>
            </w:r>
          </w:p>
        </w:tc>
      </w:tr>
      <w:tr>
        <w:tblPrEx>
          <w:tblCellMar>
            <w:top w:w="0" w:type="dxa"/>
            <w:left w:w="108" w:type="dxa"/>
            <w:bottom w:w="0" w:type="dxa"/>
            <w:right w:w="108" w:type="dxa"/>
          </w:tblCellMar>
        </w:tblPrEx>
        <w:trPr>
          <w:trHeight w:val="655" w:hRule="atLeast"/>
          <w:jc w:val="center"/>
        </w:trPr>
        <w:tc>
          <w:tcPr>
            <w:tcW w:w="2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宋体"/>
                <w:bCs/>
                <w:kern w:val="0"/>
                <w:sz w:val="24"/>
                <w:szCs w:val="24"/>
              </w:rPr>
            </w:pPr>
          </w:p>
        </w:tc>
        <w:tc>
          <w:tcPr>
            <w:tcW w:w="1240" w:type="dxa"/>
            <w:tcBorders>
              <w:top w:val="nil"/>
              <w:left w:val="nil"/>
              <w:bottom w:val="single" w:color="auto" w:sz="4" w:space="0"/>
              <w:right w:val="single" w:color="auto" w:sz="4" w:space="0"/>
            </w:tcBorders>
            <w:noWrap/>
            <w:vAlign w:val="center"/>
          </w:tcPr>
          <w:p>
            <w:pPr>
              <w:jc w:val="center"/>
              <w:rPr>
                <w:rFonts w:hint="eastAsia" w:ascii="黑体" w:hAnsi="黑体" w:eastAsia="黑体" w:cs="宋体"/>
                <w:bCs/>
                <w:kern w:val="0"/>
                <w:sz w:val="24"/>
                <w:szCs w:val="24"/>
              </w:rPr>
            </w:pPr>
            <w:r>
              <w:rPr>
                <w:rFonts w:hint="eastAsia" w:ascii="黑体" w:hAnsi="黑体" w:eastAsia="黑体" w:cs="宋体"/>
                <w:bCs/>
                <w:kern w:val="0"/>
                <w:sz w:val="24"/>
                <w:szCs w:val="24"/>
              </w:rPr>
              <w:t>2019</w:t>
            </w:r>
          </w:p>
        </w:tc>
        <w:tc>
          <w:tcPr>
            <w:tcW w:w="1240" w:type="dxa"/>
            <w:tcBorders>
              <w:top w:val="nil"/>
              <w:left w:val="nil"/>
              <w:bottom w:val="single" w:color="auto" w:sz="4" w:space="0"/>
              <w:right w:val="single" w:color="auto" w:sz="4" w:space="0"/>
            </w:tcBorders>
            <w:noWrap/>
            <w:vAlign w:val="center"/>
          </w:tcPr>
          <w:p>
            <w:pPr>
              <w:jc w:val="center"/>
              <w:rPr>
                <w:rFonts w:hint="eastAsia" w:ascii="黑体" w:hAnsi="黑体" w:eastAsia="黑体" w:cs="宋体"/>
                <w:bCs/>
                <w:kern w:val="0"/>
                <w:sz w:val="24"/>
                <w:szCs w:val="24"/>
              </w:rPr>
            </w:pPr>
            <w:r>
              <w:rPr>
                <w:rFonts w:hint="eastAsia" w:ascii="黑体" w:hAnsi="黑体" w:eastAsia="黑体" w:cs="宋体"/>
                <w:bCs/>
                <w:kern w:val="0"/>
                <w:sz w:val="24"/>
                <w:szCs w:val="24"/>
              </w:rPr>
              <w:t>2020</w:t>
            </w:r>
          </w:p>
        </w:tc>
        <w:tc>
          <w:tcPr>
            <w:tcW w:w="1240" w:type="dxa"/>
            <w:tcBorders>
              <w:top w:val="nil"/>
              <w:left w:val="nil"/>
              <w:bottom w:val="single" w:color="auto" w:sz="4" w:space="0"/>
              <w:right w:val="single" w:color="auto" w:sz="4" w:space="0"/>
            </w:tcBorders>
            <w:noWrap/>
            <w:vAlign w:val="center"/>
          </w:tcPr>
          <w:p>
            <w:pPr>
              <w:jc w:val="center"/>
              <w:rPr>
                <w:rFonts w:hint="eastAsia" w:ascii="黑体" w:hAnsi="黑体" w:eastAsia="黑体" w:cs="宋体"/>
                <w:bCs/>
                <w:kern w:val="0"/>
                <w:sz w:val="24"/>
                <w:szCs w:val="24"/>
              </w:rPr>
            </w:pPr>
            <w:r>
              <w:rPr>
                <w:rFonts w:hint="eastAsia" w:ascii="黑体" w:hAnsi="黑体" w:eastAsia="黑体" w:cs="宋体"/>
                <w:bCs/>
                <w:kern w:val="0"/>
                <w:sz w:val="24"/>
                <w:szCs w:val="24"/>
              </w:rPr>
              <w:t>2021</w:t>
            </w:r>
          </w:p>
        </w:tc>
        <w:tc>
          <w:tcPr>
            <w:tcW w:w="1395" w:type="dxa"/>
            <w:tcBorders>
              <w:top w:val="nil"/>
              <w:left w:val="nil"/>
              <w:bottom w:val="single" w:color="auto" w:sz="4" w:space="0"/>
              <w:right w:val="single" w:color="auto" w:sz="4" w:space="0"/>
            </w:tcBorders>
            <w:noWrap/>
            <w:vAlign w:val="center"/>
          </w:tcPr>
          <w:p>
            <w:pPr>
              <w:jc w:val="center"/>
              <w:rPr>
                <w:rFonts w:hint="eastAsia" w:ascii="黑体" w:hAnsi="黑体" w:eastAsia="黑体" w:cs="宋体"/>
                <w:bCs/>
                <w:kern w:val="0"/>
                <w:sz w:val="24"/>
                <w:szCs w:val="24"/>
              </w:rPr>
            </w:pPr>
            <w:r>
              <w:rPr>
                <w:rFonts w:hint="eastAsia" w:ascii="黑体" w:hAnsi="黑体" w:eastAsia="黑体" w:cs="宋体"/>
                <w:bCs/>
                <w:kern w:val="0"/>
                <w:sz w:val="24"/>
                <w:szCs w:val="24"/>
              </w:rPr>
              <w:t>人数</w:t>
            </w:r>
          </w:p>
        </w:tc>
        <w:tc>
          <w:tcPr>
            <w:tcW w:w="1395" w:type="dxa"/>
            <w:tcBorders>
              <w:top w:val="nil"/>
              <w:left w:val="nil"/>
              <w:bottom w:val="single" w:color="auto" w:sz="4" w:space="0"/>
              <w:right w:val="single" w:color="auto" w:sz="4" w:space="0"/>
            </w:tcBorders>
            <w:noWrap/>
            <w:vAlign w:val="center"/>
          </w:tcPr>
          <w:p>
            <w:pPr>
              <w:jc w:val="center"/>
              <w:rPr>
                <w:rFonts w:hint="eastAsia" w:ascii="黑体" w:hAnsi="黑体" w:eastAsia="黑体" w:cs="宋体"/>
                <w:bCs/>
                <w:kern w:val="0"/>
                <w:sz w:val="24"/>
                <w:szCs w:val="24"/>
              </w:rPr>
            </w:pPr>
            <w:r>
              <w:rPr>
                <w:rFonts w:hint="eastAsia" w:ascii="黑体" w:hAnsi="黑体" w:eastAsia="黑体" w:cs="宋体"/>
                <w:bCs/>
                <w:kern w:val="0"/>
                <w:sz w:val="24"/>
                <w:szCs w:val="24"/>
              </w:rPr>
              <w:t>金额</w:t>
            </w:r>
          </w:p>
        </w:tc>
      </w:tr>
      <w:tr>
        <w:tblPrEx>
          <w:tblCellMar>
            <w:top w:w="0" w:type="dxa"/>
            <w:left w:w="108" w:type="dxa"/>
            <w:bottom w:w="0" w:type="dxa"/>
            <w:right w:w="108" w:type="dxa"/>
          </w:tblCellMar>
        </w:tblPrEx>
        <w:trPr>
          <w:trHeight w:val="654" w:hRule="atLeast"/>
          <w:jc w:val="center"/>
        </w:trPr>
        <w:tc>
          <w:tcPr>
            <w:tcW w:w="2572" w:type="dxa"/>
            <w:tcBorders>
              <w:top w:val="nil"/>
              <w:left w:val="single" w:color="auto" w:sz="4" w:space="0"/>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XX市汇总</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655" w:hRule="atLeast"/>
          <w:jc w:val="center"/>
        </w:trPr>
        <w:tc>
          <w:tcPr>
            <w:tcW w:w="2572" w:type="dxa"/>
            <w:tcBorders>
              <w:top w:val="nil"/>
              <w:left w:val="single" w:color="auto" w:sz="4" w:space="0"/>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市本级</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654" w:hRule="atLeast"/>
          <w:jc w:val="center"/>
        </w:trPr>
        <w:tc>
          <w:tcPr>
            <w:tcW w:w="2572" w:type="dxa"/>
            <w:tcBorders>
              <w:top w:val="nil"/>
              <w:left w:val="single" w:color="auto" w:sz="4" w:space="0"/>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所属县（市）区1</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655" w:hRule="atLeast"/>
          <w:jc w:val="center"/>
        </w:trPr>
        <w:tc>
          <w:tcPr>
            <w:tcW w:w="2572" w:type="dxa"/>
            <w:tcBorders>
              <w:top w:val="nil"/>
              <w:left w:val="single" w:color="auto" w:sz="4" w:space="0"/>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所属县（市）区2</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654" w:hRule="atLeast"/>
          <w:jc w:val="center"/>
        </w:trPr>
        <w:tc>
          <w:tcPr>
            <w:tcW w:w="2572" w:type="dxa"/>
            <w:tcBorders>
              <w:top w:val="nil"/>
              <w:left w:val="single" w:color="auto" w:sz="4" w:space="0"/>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所属县（市）区3</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655" w:hRule="atLeast"/>
          <w:jc w:val="center"/>
        </w:trPr>
        <w:tc>
          <w:tcPr>
            <w:tcW w:w="2572" w:type="dxa"/>
            <w:tcBorders>
              <w:top w:val="nil"/>
              <w:left w:val="single" w:color="auto" w:sz="4" w:space="0"/>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所属县（市）区4</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655" w:hRule="atLeast"/>
          <w:jc w:val="center"/>
        </w:trPr>
        <w:tc>
          <w:tcPr>
            <w:tcW w:w="2572" w:type="dxa"/>
            <w:tcBorders>
              <w:top w:val="nil"/>
              <w:left w:val="single" w:color="auto" w:sz="4" w:space="0"/>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所属县（市）区5</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240"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c>
          <w:tcPr>
            <w:tcW w:w="1395" w:type="dxa"/>
            <w:tcBorders>
              <w:top w:val="nil"/>
              <w:left w:val="nil"/>
              <w:bottom w:val="single" w:color="auto" w:sz="4" w:space="0"/>
              <w:right w:val="single" w:color="auto" w:sz="4" w:space="0"/>
            </w:tcBorders>
            <w:noWrap/>
            <w:vAlign w:val="center"/>
          </w:tcPr>
          <w:p>
            <w:pPr>
              <w:jc w:val="left"/>
              <w:rPr>
                <w:rFonts w:hint="eastAsia" w:ascii="仿宋_GB2312" w:hAnsi="宋体" w:cs="宋体"/>
                <w:kern w:val="0"/>
                <w:sz w:val="24"/>
                <w:szCs w:val="24"/>
              </w:rPr>
            </w:pPr>
            <w:r>
              <w:rPr>
                <w:rFonts w:hint="eastAsia" w:ascii="仿宋_GB2312" w:hAnsi="宋体" w:cs="宋体"/>
                <w:kern w:val="0"/>
                <w:sz w:val="24"/>
                <w:szCs w:val="24"/>
              </w:rPr>
              <w:t>　</w:t>
            </w:r>
          </w:p>
        </w:tc>
      </w:tr>
    </w:tbl>
    <w:p>
      <w:pPr>
        <w:snapToGrid w:val="0"/>
        <w:spacing w:line="400" w:lineRule="exact"/>
        <w:ind w:left="654" w:hanging="652" w:hangingChars="272"/>
        <w:jc w:val="left"/>
        <w:rPr>
          <w:rFonts w:hint="eastAsia" w:ascii="楷体_GB2312" w:hAnsi="宋体" w:eastAsia="楷体_GB2312" w:cs="宋体"/>
          <w:kern w:val="0"/>
          <w:sz w:val="24"/>
          <w:szCs w:val="24"/>
        </w:rPr>
      </w:pPr>
      <w:r>
        <w:rPr>
          <w:rFonts w:hint="eastAsia" w:ascii="楷体_GB2312" w:hAnsi="宋体" w:eastAsia="楷体_GB2312" w:cs="宋体"/>
          <w:kern w:val="0"/>
          <w:sz w:val="24"/>
          <w:szCs w:val="24"/>
        </w:rPr>
        <w:t>备注：以县（市、区）为单位填写，以省辖市为单位统计上报，（重点扩权县（市）随所在省辖市报送,省直管县（市）单独报送）</w:t>
      </w:r>
    </w:p>
    <w:p>
      <w:pPr>
        <w:jc w:val="left"/>
        <w:rPr>
          <w:rFonts w:hint="eastAsia" w:ascii="黑体" w:hAnsi="宋体" w:eastAsia="黑体" w:cs="宋体"/>
          <w:kern w:val="0"/>
        </w:rPr>
      </w:pPr>
    </w:p>
    <w:p>
      <w:pPr>
        <w:jc w:val="left"/>
        <w:rPr>
          <w:rFonts w:hint="eastAsia" w:ascii="黑体" w:hAnsi="宋体" w:eastAsia="黑体" w:cs="宋体"/>
          <w:kern w:val="0"/>
        </w:rPr>
      </w:pPr>
    </w:p>
    <w:p>
      <w:pPr>
        <w:jc w:val="left"/>
        <w:rPr>
          <w:rFonts w:hint="eastAsia" w:ascii="黑体" w:hAnsi="宋体" w:eastAsia="黑体" w:cs="宋体"/>
          <w:kern w:val="0"/>
        </w:rPr>
      </w:pPr>
    </w:p>
    <w:p>
      <w:pPr>
        <w:tabs>
          <w:tab w:val="left" w:pos="5573"/>
          <w:tab w:val="right" w:pos="7706"/>
        </w:tabs>
        <w:autoSpaceDE w:val="0"/>
        <w:autoSpaceDN w:val="0"/>
        <w:adjustRightInd w:val="0"/>
        <w:ind w:right="600"/>
        <w:jc w:val="left"/>
        <w:rPr>
          <w:rFonts w:hint="eastAsia" w:ascii="黑体" w:hAnsi="仿宋" w:eastAsia="黑体" w:cs="宋体"/>
          <w:kern w:val="0"/>
        </w:rPr>
      </w:pPr>
    </w:p>
    <w:p>
      <w:pPr>
        <w:tabs>
          <w:tab w:val="left" w:pos="5573"/>
          <w:tab w:val="right" w:pos="7706"/>
        </w:tabs>
        <w:autoSpaceDE w:val="0"/>
        <w:autoSpaceDN w:val="0"/>
        <w:adjustRightInd w:val="0"/>
        <w:ind w:right="600"/>
        <w:jc w:val="left"/>
        <w:rPr>
          <w:rFonts w:hint="eastAsia" w:ascii="黑体" w:hAnsi="仿宋" w:eastAsia="黑体" w:cs="宋体"/>
          <w:kern w:val="0"/>
        </w:rPr>
      </w:pPr>
    </w:p>
    <w:p>
      <w:pPr>
        <w:tabs>
          <w:tab w:val="left" w:pos="5573"/>
          <w:tab w:val="right" w:pos="7706"/>
        </w:tabs>
        <w:autoSpaceDE w:val="0"/>
        <w:autoSpaceDN w:val="0"/>
        <w:adjustRightInd w:val="0"/>
        <w:ind w:right="600"/>
        <w:jc w:val="left"/>
        <w:rPr>
          <w:rFonts w:ascii="黑体" w:hAnsi="仿宋" w:eastAsia="黑体" w:cs="宋体"/>
          <w:kern w:val="0"/>
        </w:rPr>
        <w:sectPr>
          <w:pgSz w:w="11906" w:h="16838"/>
          <w:pgMar w:top="1644" w:right="1361" w:bottom="2268" w:left="1531" w:header="0" w:footer="1814" w:gutter="0"/>
          <w:cols w:space="720" w:num="1"/>
          <w:docGrid w:type="linesAndChars" w:linePitch="587" w:charSpace="95"/>
        </w:sectPr>
      </w:pPr>
    </w:p>
    <w:p>
      <w:pPr>
        <w:rPr>
          <w:rFonts w:hint="eastAsia" w:ascii="黑体" w:hAnsi="宋体" w:eastAsia="黑体" w:cs="宋体"/>
          <w:kern w:val="0"/>
          <w:sz w:val="32"/>
          <w:szCs w:val="32"/>
        </w:rPr>
      </w:pPr>
      <w:r>
        <w:rPr>
          <w:rFonts w:hint="eastAsia" w:ascii="黑体" w:hAnsi="宋体" w:eastAsia="黑体" w:cs="宋体"/>
          <w:kern w:val="0"/>
          <w:sz w:val="32"/>
          <w:szCs w:val="32"/>
        </w:rPr>
        <w:t>附件2</w:t>
      </w:r>
    </w:p>
    <w:p>
      <w:pPr>
        <w:snapToGrid w:val="0"/>
        <w:rPr>
          <w:rFonts w:hint="eastAsia" w:ascii="黑体" w:hAnsi="宋体" w:eastAsia="黑体" w:cs="宋体"/>
          <w:kern w:val="0"/>
        </w:rPr>
      </w:pPr>
    </w:p>
    <w:p>
      <w:pPr>
        <w:snapToGrid w:val="0"/>
        <w:jc w:val="center"/>
      </w:pPr>
      <w:r>
        <w:rPr>
          <w:rFonts w:hint="eastAsia" w:ascii="方正小标宋简体" w:hAnsi="宋体" w:eastAsia="方正小标宋简体" w:cs="宋体"/>
          <w:kern w:val="0"/>
          <w:sz w:val="44"/>
          <w:szCs w:val="44"/>
        </w:rPr>
        <w:t>市、县两级学生资助工作人员名单</w:t>
      </w:r>
    </w:p>
    <w:tbl>
      <w:tblPr>
        <w:tblStyle w:val="9"/>
        <w:tblW w:w="13810" w:type="dxa"/>
        <w:jc w:val="center"/>
        <w:tblLayout w:type="fixed"/>
        <w:tblCellMar>
          <w:top w:w="0" w:type="dxa"/>
          <w:left w:w="108" w:type="dxa"/>
          <w:bottom w:w="0" w:type="dxa"/>
          <w:right w:w="108" w:type="dxa"/>
        </w:tblCellMar>
      </w:tblPr>
      <w:tblGrid>
        <w:gridCol w:w="1720"/>
        <w:gridCol w:w="1080"/>
        <w:gridCol w:w="1080"/>
        <w:gridCol w:w="1368"/>
        <w:gridCol w:w="1432"/>
        <w:gridCol w:w="1840"/>
        <w:gridCol w:w="1480"/>
        <w:gridCol w:w="1800"/>
        <w:gridCol w:w="2010"/>
      </w:tblGrid>
      <w:tr>
        <w:tblPrEx>
          <w:tblCellMar>
            <w:top w:w="0" w:type="dxa"/>
            <w:left w:w="108" w:type="dxa"/>
            <w:bottom w:w="0" w:type="dxa"/>
            <w:right w:w="108" w:type="dxa"/>
          </w:tblCellMar>
        </w:tblPrEx>
        <w:trPr>
          <w:trHeight w:val="510" w:hRule="atLeast"/>
          <w:jc w:val="center"/>
        </w:trPr>
        <w:tc>
          <w:tcPr>
            <w:tcW w:w="13810" w:type="dxa"/>
            <w:gridSpan w:val="9"/>
            <w:tcBorders>
              <w:top w:val="nil"/>
              <w:left w:val="nil"/>
              <w:bottom w:val="nil"/>
              <w:right w:val="nil"/>
            </w:tcBorders>
            <w:noWrap w:val="0"/>
            <w:vAlign w:val="center"/>
          </w:tcPr>
          <w:p>
            <w:pPr>
              <w:snapToGrid w:val="0"/>
              <w:jc w:val="left"/>
              <w:rPr>
                <w:rFonts w:hint="eastAsia" w:ascii="楷体_GB2312" w:hAnsi="宋体" w:eastAsia="楷体_GB2312" w:cs="宋体"/>
                <w:kern w:val="0"/>
                <w:sz w:val="24"/>
                <w:szCs w:val="24"/>
              </w:rPr>
            </w:pPr>
            <w:r>
              <w:rPr>
                <w:rFonts w:hint="eastAsia" w:ascii="楷体_GB2312" w:hAnsi="宋体" w:eastAsia="楷体_GB2312" w:cs="宋体"/>
                <w:kern w:val="0"/>
                <w:sz w:val="24"/>
                <w:szCs w:val="24"/>
              </w:rPr>
              <w:t>市、县教育局名称:</w:t>
            </w:r>
          </w:p>
        </w:tc>
      </w:tr>
      <w:tr>
        <w:tblPrEx>
          <w:tblCellMar>
            <w:top w:w="0" w:type="dxa"/>
            <w:left w:w="108" w:type="dxa"/>
            <w:bottom w:w="0" w:type="dxa"/>
            <w:right w:w="108" w:type="dxa"/>
          </w:tblCellMar>
        </w:tblPrEx>
        <w:trPr>
          <w:trHeight w:val="510" w:hRule="atLeast"/>
          <w:jc w:val="center"/>
        </w:trPr>
        <w:tc>
          <w:tcPr>
            <w:tcW w:w="13810" w:type="dxa"/>
            <w:gridSpan w:val="9"/>
            <w:tcBorders>
              <w:top w:val="nil"/>
              <w:left w:val="nil"/>
              <w:bottom w:val="nil"/>
              <w:right w:val="nil"/>
            </w:tcBorders>
            <w:noWrap w:val="0"/>
            <w:vAlign w:val="center"/>
          </w:tcPr>
          <w:p>
            <w:pPr>
              <w:snapToGrid w:val="0"/>
              <w:jc w:val="left"/>
              <w:rPr>
                <w:rFonts w:hint="eastAsia" w:ascii="楷体_GB2312" w:hAnsi="宋体" w:eastAsia="楷体_GB2312" w:cs="宋体"/>
                <w:kern w:val="0"/>
                <w:sz w:val="24"/>
                <w:szCs w:val="24"/>
              </w:rPr>
            </w:pPr>
            <w:r>
              <w:rPr>
                <w:rFonts w:hint="eastAsia" w:ascii="楷体_GB2312" w:hAnsi="宋体" w:eastAsia="楷体_GB2312" w:cs="宋体"/>
                <w:kern w:val="0"/>
                <w:sz w:val="24"/>
                <w:szCs w:val="24"/>
              </w:rPr>
              <w:t>邮政编码:       区号:      传真:              教育局邮寄地址:</w:t>
            </w:r>
          </w:p>
        </w:tc>
      </w:tr>
      <w:tr>
        <w:tblPrEx>
          <w:tblCellMar>
            <w:top w:w="0" w:type="dxa"/>
            <w:left w:w="108" w:type="dxa"/>
            <w:bottom w:w="0" w:type="dxa"/>
            <w:right w:w="108" w:type="dxa"/>
          </w:tblCellMar>
        </w:tblPrEx>
        <w:trPr>
          <w:trHeight w:val="510" w:hRule="atLeast"/>
          <w:jc w:val="center"/>
        </w:trPr>
        <w:tc>
          <w:tcPr>
            <w:tcW w:w="1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人员类别</w:t>
            </w:r>
          </w:p>
        </w:tc>
        <w:tc>
          <w:tcPr>
            <w:tcW w:w="1080"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080"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职  务</w:t>
            </w:r>
          </w:p>
        </w:tc>
        <w:tc>
          <w:tcPr>
            <w:tcW w:w="1368"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办公电话</w:t>
            </w:r>
          </w:p>
        </w:tc>
        <w:tc>
          <w:tcPr>
            <w:tcW w:w="1432"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手机号码</w:t>
            </w:r>
          </w:p>
        </w:tc>
        <w:tc>
          <w:tcPr>
            <w:tcW w:w="1840"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Email</w:t>
            </w:r>
          </w:p>
        </w:tc>
        <w:tc>
          <w:tcPr>
            <w:tcW w:w="1480"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QQ号码</w:t>
            </w:r>
          </w:p>
        </w:tc>
        <w:tc>
          <w:tcPr>
            <w:tcW w:w="1800"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负责的工作</w:t>
            </w:r>
          </w:p>
        </w:tc>
        <w:tc>
          <w:tcPr>
            <w:tcW w:w="2010"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联系人</w:t>
            </w:r>
          </w:p>
        </w:tc>
      </w:tr>
      <w:tr>
        <w:tblPrEx>
          <w:tblCellMar>
            <w:top w:w="0" w:type="dxa"/>
            <w:left w:w="108" w:type="dxa"/>
            <w:bottom w:w="0" w:type="dxa"/>
            <w:right w:w="108" w:type="dxa"/>
          </w:tblCellMar>
        </w:tblPrEx>
        <w:trPr>
          <w:trHeight w:val="510" w:hRule="atLeast"/>
          <w:jc w:val="center"/>
        </w:trPr>
        <w:tc>
          <w:tcPr>
            <w:tcW w:w="1720" w:type="dxa"/>
            <w:tcBorders>
              <w:top w:val="nil"/>
              <w:left w:val="single" w:color="auto" w:sz="4" w:space="0"/>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主管局领导</w:t>
            </w: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368"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32"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4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0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201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10" w:hRule="atLeast"/>
          <w:jc w:val="center"/>
        </w:trPr>
        <w:tc>
          <w:tcPr>
            <w:tcW w:w="1720" w:type="dxa"/>
            <w:vMerge w:val="restart"/>
            <w:tcBorders>
              <w:top w:val="nil"/>
              <w:left w:val="single" w:color="auto" w:sz="4" w:space="0"/>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资助中心领导</w:t>
            </w: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368"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32"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40" w:type="dxa"/>
            <w:tcBorders>
              <w:top w:val="nil"/>
              <w:left w:val="nil"/>
              <w:bottom w:val="single" w:color="auto" w:sz="4" w:space="0"/>
              <w:right w:val="single" w:color="auto" w:sz="4" w:space="0"/>
            </w:tcBorders>
            <w:noWrap w:val="0"/>
            <w:vAlign w:val="center"/>
          </w:tcPr>
          <w:p>
            <w:pPr>
              <w:snapToGrid w:val="0"/>
              <w:jc w:val="center"/>
              <w:rPr>
                <w:rFonts w:ascii="宋体" w:hAnsi="宋体" w:eastAsia="宋体" w:cs="宋体"/>
                <w:kern w:val="0"/>
                <w:sz w:val="24"/>
                <w:szCs w:val="24"/>
                <w:u w:val="single"/>
              </w:rPr>
            </w:pPr>
            <w:r>
              <w:rPr>
                <w:rFonts w:hint="eastAsia" w:ascii="宋体" w:hAnsi="宋体" w:eastAsia="宋体" w:cs="宋体"/>
                <w:kern w:val="0"/>
                <w:sz w:val="24"/>
                <w:szCs w:val="24"/>
                <w:u w:val="single"/>
              </w:rPr>
              <w:t>　</w:t>
            </w:r>
          </w:p>
        </w:tc>
        <w:tc>
          <w:tcPr>
            <w:tcW w:w="14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0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201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10" w:hRule="atLeast"/>
          <w:jc w:val="center"/>
        </w:trPr>
        <w:tc>
          <w:tcPr>
            <w:tcW w:w="1720" w:type="dxa"/>
            <w:vMerge w:val="continue"/>
            <w:tcBorders>
              <w:top w:val="nil"/>
              <w:left w:val="single" w:color="auto" w:sz="4" w:space="0"/>
              <w:bottom w:val="single" w:color="auto" w:sz="4" w:space="0"/>
              <w:right w:val="single" w:color="auto" w:sz="4" w:space="0"/>
            </w:tcBorders>
            <w:noWrap w:val="0"/>
            <w:vAlign w:val="center"/>
          </w:tcPr>
          <w:p>
            <w:pPr>
              <w:snapToGrid w:val="0"/>
              <w:jc w:val="left"/>
              <w:rPr>
                <w:rFonts w:ascii="仿宋_GB2312" w:hAns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368"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32"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40" w:type="dxa"/>
            <w:tcBorders>
              <w:top w:val="nil"/>
              <w:left w:val="nil"/>
              <w:bottom w:val="single" w:color="auto" w:sz="4" w:space="0"/>
              <w:right w:val="single" w:color="auto" w:sz="4" w:space="0"/>
            </w:tcBorders>
            <w:noWrap w:val="0"/>
            <w:vAlign w:val="center"/>
          </w:tcPr>
          <w:p>
            <w:pPr>
              <w:snapToGrid w:val="0"/>
              <w:jc w:val="center"/>
              <w:rPr>
                <w:rFonts w:ascii="宋体" w:hAnsi="宋体" w:eastAsia="宋体" w:cs="宋体"/>
                <w:kern w:val="0"/>
                <w:sz w:val="24"/>
                <w:szCs w:val="24"/>
                <w:u w:val="single"/>
              </w:rPr>
            </w:pPr>
            <w:r>
              <w:rPr>
                <w:rFonts w:hint="eastAsia" w:ascii="宋体" w:hAnsi="宋体" w:eastAsia="宋体" w:cs="宋体"/>
                <w:kern w:val="0"/>
                <w:sz w:val="24"/>
                <w:szCs w:val="24"/>
                <w:u w:val="single"/>
              </w:rPr>
              <w:t>　</w:t>
            </w:r>
          </w:p>
        </w:tc>
        <w:tc>
          <w:tcPr>
            <w:tcW w:w="14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0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201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10" w:hRule="atLeast"/>
          <w:jc w:val="center"/>
        </w:trPr>
        <w:tc>
          <w:tcPr>
            <w:tcW w:w="1720" w:type="dxa"/>
            <w:vMerge w:val="restart"/>
            <w:tcBorders>
              <w:top w:val="nil"/>
              <w:left w:val="single" w:color="auto" w:sz="4" w:space="0"/>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xml:space="preserve">工作人员 </w:t>
            </w: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368"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32"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4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0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201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10" w:hRule="atLeast"/>
          <w:jc w:val="center"/>
        </w:trPr>
        <w:tc>
          <w:tcPr>
            <w:tcW w:w="1720" w:type="dxa"/>
            <w:vMerge w:val="continue"/>
            <w:tcBorders>
              <w:top w:val="nil"/>
              <w:left w:val="single" w:color="auto" w:sz="4" w:space="0"/>
              <w:bottom w:val="single" w:color="auto" w:sz="4" w:space="0"/>
              <w:right w:val="single" w:color="auto" w:sz="4" w:space="0"/>
            </w:tcBorders>
            <w:noWrap w:val="0"/>
            <w:vAlign w:val="center"/>
          </w:tcPr>
          <w:p>
            <w:pPr>
              <w:snapToGrid w:val="0"/>
              <w:jc w:val="left"/>
              <w:rPr>
                <w:rFonts w:ascii="仿宋_GB2312" w:hAns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368"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32"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4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0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201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10" w:hRule="atLeast"/>
          <w:jc w:val="center"/>
        </w:trPr>
        <w:tc>
          <w:tcPr>
            <w:tcW w:w="1720" w:type="dxa"/>
            <w:vMerge w:val="continue"/>
            <w:tcBorders>
              <w:top w:val="nil"/>
              <w:left w:val="single" w:color="auto" w:sz="4" w:space="0"/>
              <w:bottom w:val="single" w:color="auto" w:sz="4" w:space="0"/>
              <w:right w:val="single" w:color="auto" w:sz="4" w:space="0"/>
            </w:tcBorders>
            <w:noWrap w:val="0"/>
            <w:vAlign w:val="center"/>
          </w:tcPr>
          <w:p>
            <w:pPr>
              <w:snapToGrid w:val="0"/>
              <w:jc w:val="left"/>
              <w:rPr>
                <w:rFonts w:ascii="仿宋_GB2312" w:hAns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368"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32"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4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0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201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10" w:hRule="atLeast"/>
          <w:jc w:val="center"/>
        </w:trPr>
        <w:tc>
          <w:tcPr>
            <w:tcW w:w="1720" w:type="dxa"/>
            <w:vMerge w:val="continue"/>
            <w:tcBorders>
              <w:top w:val="nil"/>
              <w:left w:val="single" w:color="auto" w:sz="4" w:space="0"/>
              <w:bottom w:val="single" w:color="auto" w:sz="4" w:space="0"/>
              <w:right w:val="single" w:color="auto" w:sz="4" w:space="0"/>
            </w:tcBorders>
            <w:noWrap w:val="0"/>
            <w:vAlign w:val="center"/>
          </w:tcPr>
          <w:p>
            <w:pPr>
              <w:snapToGrid w:val="0"/>
              <w:jc w:val="left"/>
              <w:rPr>
                <w:rFonts w:ascii="仿宋_GB2312" w:hAns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368"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32"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4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0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201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510" w:hRule="atLeast"/>
          <w:jc w:val="center"/>
        </w:trPr>
        <w:tc>
          <w:tcPr>
            <w:tcW w:w="1720" w:type="dxa"/>
            <w:vMerge w:val="continue"/>
            <w:tcBorders>
              <w:top w:val="nil"/>
              <w:left w:val="single" w:color="auto" w:sz="4" w:space="0"/>
              <w:bottom w:val="single" w:color="auto" w:sz="4" w:space="0"/>
              <w:right w:val="single" w:color="auto" w:sz="4" w:space="0"/>
            </w:tcBorders>
            <w:noWrap w:val="0"/>
            <w:vAlign w:val="center"/>
          </w:tcPr>
          <w:p>
            <w:pPr>
              <w:snapToGrid w:val="0"/>
              <w:jc w:val="left"/>
              <w:rPr>
                <w:rFonts w:ascii="仿宋_GB2312" w:hAns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0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368"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32"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4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48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180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2010" w:type="dxa"/>
            <w:tcBorders>
              <w:top w:val="nil"/>
              <w:left w:val="nil"/>
              <w:bottom w:val="single" w:color="auto" w:sz="4" w:space="0"/>
              <w:right w:val="single" w:color="auto" w:sz="4" w:space="0"/>
            </w:tcBorders>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r>
    </w:tbl>
    <w:p>
      <w:pPr>
        <w:snapToGrid w:val="0"/>
        <w:ind w:left="481" w:hanging="480" w:hangingChars="200"/>
        <w:jc w:val="left"/>
        <w:rPr>
          <w:rFonts w:hint="eastAsia" w:ascii="楷体_GB2312" w:hAnsi="宋体" w:eastAsia="楷体_GB2312" w:cs="宋体"/>
          <w:kern w:val="0"/>
          <w:sz w:val="24"/>
          <w:szCs w:val="24"/>
        </w:rPr>
      </w:pPr>
      <w:r>
        <w:rPr>
          <w:rFonts w:hint="eastAsia" w:ascii="楷体_GB2312" w:hAnsi="宋体" w:eastAsia="楷体_GB2312" w:cs="宋体"/>
          <w:kern w:val="0"/>
          <w:sz w:val="24"/>
          <w:szCs w:val="24"/>
        </w:rPr>
        <w:t>注：1、工作人员包含：生源地助学贷款工作人员、普通高中资助工作人员、中职资助工作人员和学前教育资助工作人员；</w:t>
      </w:r>
    </w:p>
    <w:p>
      <w:pPr>
        <w:snapToGrid w:val="0"/>
        <w:ind w:left="480" w:leftChars="160"/>
        <w:jc w:val="left"/>
        <w:rPr>
          <w:rFonts w:hint="eastAsia" w:ascii="楷体_GB2312" w:hAnsi="宋体" w:eastAsia="楷体_GB2312" w:cs="宋体"/>
          <w:kern w:val="0"/>
          <w:sz w:val="24"/>
          <w:szCs w:val="24"/>
        </w:rPr>
      </w:pPr>
      <w:r>
        <w:rPr>
          <w:rFonts w:hint="eastAsia" w:ascii="楷体_GB2312" w:hAnsi="宋体" w:eastAsia="楷体_GB2312" w:cs="宋体"/>
          <w:kern w:val="0"/>
          <w:sz w:val="24"/>
          <w:szCs w:val="24"/>
        </w:rPr>
        <w:t>2、联系人标记：★； 3、各省辖市负责汇总辖属各县（市、区）名单统一上报，省直管县（市）名单直接上报；4、报送方式：</w:t>
      </w:r>
      <w:r>
        <w:rPr>
          <w:rFonts w:hint="eastAsia" w:ascii="楷体_GB2312" w:hAnsi="宋体" w:eastAsia="楷体_GB2312" w:cs="宋体"/>
          <w:kern w:val="0"/>
          <w:sz w:val="24"/>
          <w:szCs w:val="24"/>
        </w:rPr>
        <w:fldChar w:fldCharType="begin"/>
      </w:r>
      <w:r>
        <w:rPr>
          <w:rFonts w:hint="eastAsia" w:ascii="楷体_GB2312" w:hAnsi="宋体" w:eastAsia="楷体_GB2312" w:cs="宋体"/>
          <w:kern w:val="0"/>
          <w:sz w:val="24"/>
          <w:szCs w:val="24"/>
        </w:rPr>
        <w:instrText xml:space="preserve"> HYPERLINK "mailto:将电子版发送至hnsyd@qq.com" </w:instrText>
      </w:r>
      <w:r>
        <w:rPr>
          <w:rFonts w:hint="eastAsia" w:ascii="楷体_GB2312" w:hAnsi="宋体" w:eastAsia="楷体_GB2312" w:cs="宋体"/>
          <w:kern w:val="0"/>
          <w:sz w:val="24"/>
          <w:szCs w:val="24"/>
        </w:rPr>
        <w:fldChar w:fldCharType="separate"/>
      </w:r>
      <w:r>
        <w:rPr>
          <w:rFonts w:hint="eastAsia" w:ascii="楷体_GB2312" w:eastAsia="楷体_GB2312"/>
          <w:sz w:val="24"/>
          <w:szCs w:val="24"/>
        </w:rPr>
        <w:t>将电子版发送至hnsyd@qq.com</w:t>
      </w:r>
      <w:r>
        <w:rPr>
          <w:rFonts w:hint="eastAsia" w:ascii="楷体_GB2312" w:hAnsi="宋体" w:eastAsia="楷体_GB2312" w:cs="宋体"/>
          <w:kern w:val="0"/>
          <w:sz w:val="24"/>
          <w:szCs w:val="24"/>
        </w:rPr>
        <w:fldChar w:fldCharType="end"/>
      </w:r>
      <w:r>
        <w:rPr>
          <w:rFonts w:hint="eastAsia" w:ascii="楷体_GB2312" w:hAnsi="宋体" w:eastAsia="楷体_GB2312" w:cs="宋体"/>
          <w:kern w:val="0"/>
          <w:sz w:val="24"/>
          <w:szCs w:val="24"/>
        </w:rPr>
        <w:t xml:space="preserve">。 </w:t>
      </w:r>
    </w:p>
    <w:p>
      <w:pPr>
        <w:tabs>
          <w:tab w:val="left" w:pos="5573"/>
          <w:tab w:val="right" w:pos="7706"/>
        </w:tabs>
        <w:autoSpaceDE w:val="0"/>
        <w:autoSpaceDN w:val="0"/>
        <w:adjustRightInd w:val="0"/>
        <w:ind w:right="600"/>
        <w:jc w:val="left"/>
        <w:rPr>
          <w:rFonts w:ascii="黑体" w:hAnsi="仿宋" w:eastAsia="黑体" w:cs="宋体"/>
          <w:kern w:val="0"/>
        </w:rPr>
        <w:sectPr>
          <w:pgSz w:w="16838" w:h="11906" w:orient="landscape"/>
          <w:pgMar w:top="1361" w:right="2268" w:bottom="1531" w:left="1644" w:header="0" w:footer="1814" w:gutter="0"/>
          <w:cols w:space="720" w:num="1"/>
          <w:docGrid w:type="linesAndChars" w:linePitch="587" w:charSpace="95"/>
        </w:sectPr>
      </w:pPr>
    </w:p>
    <w:p>
      <w:pPr>
        <w:rPr>
          <w:rFonts w:hint="eastAsia" w:ascii="黑体" w:hAnsi="宋体" w:eastAsia="黑体" w:cs="宋体"/>
          <w:kern w:val="0"/>
          <w:sz w:val="32"/>
          <w:szCs w:val="32"/>
        </w:rPr>
      </w:pPr>
      <w:r>
        <w:rPr>
          <w:rFonts w:hint="eastAsia" w:ascii="黑体" w:hAnsi="宋体" w:eastAsia="黑体" w:cs="宋体"/>
          <w:kern w:val="0"/>
          <w:sz w:val="32"/>
          <w:szCs w:val="32"/>
        </w:rPr>
        <w:t>附件3</w:t>
      </w:r>
    </w:p>
    <w:p>
      <w:pPr>
        <w:rPr>
          <w:rFonts w:hint="eastAsia" w:ascii="黑体" w:hAnsi="宋体" w:eastAsia="黑体" w:cs="宋体"/>
          <w:kern w:val="0"/>
        </w:rPr>
      </w:pPr>
    </w:p>
    <w:p>
      <w:pPr>
        <w:snapToGrid w:val="0"/>
        <w:jc w:val="center"/>
      </w:pPr>
      <w:r>
        <w:rPr>
          <w:rFonts w:hint="eastAsia" w:ascii="方正小标宋简体" w:hAnsi="宋体" w:eastAsia="方正小标宋简体" w:cs="宋体"/>
          <w:kern w:val="0"/>
          <w:sz w:val="44"/>
          <w:szCs w:val="44"/>
        </w:rPr>
        <w:t>国家助学贷款电子口令牌申请表</w:t>
      </w:r>
    </w:p>
    <w:p>
      <w:pPr>
        <w:tabs>
          <w:tab w:val="left" w:pos="5573"/>
          <w:tab w:val="right" w:pos="7706"/>
        </w:tabs>
        <w:autoSpaceDE w:val="0"/>
        <w:autoSpaceDN w:val="0"/>
        <w:adjustRightInd w:val="0"/>
        <w:ind w:right="600"/>
        <w:jc w:val="left"/>
        <w:rPr>
          <w:rFonts w:ascii="仿宋_GB2312" w:hAnsi="宋体" w:cs="宋体"/>
          <w:kern w:val="0"/>
          <w:sz w:val="24"/>
          <w:szCs w:val="24"/>
        </w:rPr>
      </w:pPr>
    </w:p>
    <w:p>
      <w:pPr>
        <w:snapToGrid w:val="0"/>
        <w:jc w:val="left"/>
        <w:rPr>
          <w:rFonts w:hint="eastAsia" w:ascii="楷体_GB2312" w:hAnsi="宋体" w:eastAsia="楷体_GB2312" w:cs="宋体"/>
          <w:kern w:val="0"/>
          <w:sz w:val="24"/>
          <w:szCs w:val="24"/>
        </w:rPr>
      </w:pPr>
      <w:r>
        <w:rPr>
          <w:rFonts w:hint="eastAsia" w:ascii="楷体_GB2312" w:hAnsi="宋体" w:eastAsia="楷体_GB2312" w:cs="宋体"/>
          <w:kern w:val="0"/>
          <w:sz w:val="24"/>
          <w:szCs w:val="24"/>
        </w:rPr>
        <w:t>高校/市、县资助中心名称：</w:t>
      </w:r>
    </w:p>
    <w:p>
      <w:pPr>
        <w:snapToGrid w:val="0"/>
        <w:jc w:val="left"/>
        <w:rPr>
          <w:rFonts w:hint="eastAsia" w:ascii="楷体_GB2312" w:hAnsi="宋体" w:eastAsia="楷体_GB2312" w:cs="宋体"/>
          <w:kern w:val="0"/>
          <w:sz w:val="24"/>
          <w:szCs w:val="24"/>
        </w:rPr>
      </w:pP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05"/>
        <w:gridCol w:w="1541"/>
        <w:gridCol w:w="1118"/>
        <w:gridCol w:w="1399"/>
        <w:gridCol w:w="1398"/>
        <w:gridCol w:w="1404"/>
        <w:gridCol w:w="1543"/>
        <w:gridCol w:w="168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313" w:type="pct"/>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534" w:type="pct"/>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电子口令牌编号</w:t>
            </w:r>
          </w:p>
        </w:tc>
        <w:tc>
          <w:tcPr>
            <w:tcW w:w="586" w:type="pct"/>
            <w:noWrap w:val="0"/>
            <w:vAlign w:val="center"/>
          </w:tcPr>
          <w:p>
            <w:pPr>
              <w:snapToGrid w:val="0"/>
              <w:jc w:val="center"/>
              <w:rPr>
                <w:rFonts w:hint="eastAsia" w:ascii="黑体" w:hAnsi="黑体" w:eastAsia="黑体" w:cs="宋体"/>
                <w:kern w:val="0"/>
                <w:sz w:val="24"/>
                <w:szCs w:val="24"/>
              </w:rPr>
            </w:pPr>
            <w:r>
              <w:rPr>
                <w:rFonts w:hint="eastAsia" w:ascii="黑体" w:hAnsi="黑体" w:eastAsia="黑体" w:cs="宋体"/>
                <w:kern w:val="0"/>
                <w:sz w:val="24"/>
                <w:szCs w:val="24"/>
              </w:rPr>
              <w:t>助学贷款</w:t>
            </w:r>
          </w:p>
          <w:p>
            <w:pPr>
              <w:snapToGrid w:val="0"/>
              <w:jc w:val="center"/>
              <w:rPr>
                <w:rFonts w:hint="eastAsia" w:ascii="黑体" w:hAnsi="黑体" w:eastAsia="黑体" w:cs="宋体"/>
                <w:kern w:val="0"/>
                <w:sz w:val="24"/>
                <w:szCs w:val="24"/>
              </w:rPr>
            </w:pPr>
            <w:r>
              <w:rPr>
                <w:rFonts w:hint="eastAsia" w:ascii="黑体" w:hAnsi="黑体" w:eastAsia="黑体" w:cs="宋体"/>
                <w:kern w:val="0"/>
                <w:sz w:val="24"/>
                <w:szCs w:val="24"/>
              </w:rPr>
              <w:t>用户登录</w:t>
            </w:r>
          </w:p>
          <w:p>
            <w:pPr>
              <w:snapToGrid w:val="0"/>
              <w:jc w:val="center"/>
              <w:rPr>
                <w:rFonts w:ascii="黑体" w:hAnsi="黑体" w:eastAsia="黑体" w:cs="宋体"/>
                <w:kern w:val="0"/>
                <w:sz w:val="24"/>
                <w:szCs w:val="24"/>
              </w:rPr>
            </w:pPr>
            <w:r>
              <w:rPr>
                <w:rFonts w:hint="eastAsia" w:ascii="黑体" w:hAnsi="黑体" w:eastAsia="黑体" w:cs="宋体"/>
                <w:kern w:val="0"/>
                <w:sz w:val="24"/>
                <w:szCs w:val="24"/>
              </w:rPr>
              <w:t>名称</w:t>
            </w:r>
          </w:p>
        </w:tc>
        <w:tc>
          <w:tcPr>
            <w:tcW w:w="425" w:type="pct"/>
            <w:noWrap w:val="0"/>
            <w:vAlign w:val="center"/>
          </w:tcPr>
          <w:p>
            <w:pPr>
              <w:snapToGrid w:val="0"/>
              <w:jc w:val="center"/>
              <w:rPr>
                <w:rFonts w:hint="eastAsia" w:ascii="黑体" w:hAnsi="黑体" w:eastAsia="黑体" w:cs="宋体"/>
                <w:kern w:val="0"/>
                <w:sz w:val="24"/>
                <w:szCs w:val="24"/>
              </w:rPr>
            </w:pPr>
            <w:r>
              <w:rPr>
                <w:rFonts w:hint="eastAsia" w:ascii="黑体" w:hAnsi="黑体" w:eastAsia="黑体" w:cs="宋体"/>
                <w:kern w:val="0"/>
                <w:sz w:val="24"/>
                <w:szCs w:val="24"/>
              </w:rPr>
              <w:t xml:space="preserve"> 使用人</w:t>
            </w:r>
          </w:p>
          <w:p>
            <w:pPr>
              <w:snapToGrid w:val="0"/>
              <w:jc w:val="center"/>
              <w:rPr>
                <w:rFonts w:ascii="黑体" w:hAnsi="黑体" w:eastAsia="黑体" w:cs="宋体"/>
                <w:kern w:val="0"/>
                <w:sz w:val="24"/>
                <w:szCs w:val="24"/>
              </w:rPr>
            </w:pPr>
            <w:r>
              <w:rPr>
                <w:rFonts w:hint="eastAsia" w:ascii="黑体" w:hAnsi="黑体" w:eastAsia="黑体" w:cs="宋体"/>
                <w:kern w:val="0"/>
                <w:sz w:val="24"/>
                <w:szCs w:val="24"/>
              </w:rPr>
              <w:t>姓名</w:t>
            </w:r>
          </w:p>
        </w:tc>
        <w:tc>
          <w:tcPr>
            <w:tcW w:w="532" w:type="pct"/>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所在部门</w:t>
            </w:r>
          </w:p>
        </w:tc>
        <w:tc>
          <w:tcPr>
            <w:tcW w:w="532" w:type="pct"/>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办公地址</w:t>
            </w:r>
          </w:p>
        </w:tc>
        <w:tc>
          <w:tcPr>
            <w:tcW w:w="534" w:type="pct"/>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办公电话</w:t>
            </w:r>
          </w:p>
        </w:tc>
        <w:tc>
          <w:tcPr>
            <w:tcW w:w="587" w:type="pct"/>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手机</w:t>
            </w:r>
          </w:p>
        </w:tc>
        <w:tc>
          <w:tcPr>
            <w:tcW w:w="640" w:type="pct"/>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邮箱</w:t>
            </w:r>
          </w:p>
        </w:tc>
        <w:tc>
          <w:tcPr>
            <w:tcW w:w="315" w:type="pct"/>
            <w:noWrap w:val="0"/>
            <w:vAlign w:val="center"/>
          </w:tcPr>
          <w:p>
            <w:pPr>
              <w:snapToGrid w:val="0"/>
              <w:jc w:val="center"/>
              <w:rPr>
                <w:rFonts w:ascii="黑体" w:hAnsi="黑体" w:eastAsia="黑体" w:cs="宋体"/>
                <w:kern w:val="0"/>
                <w:sz w:val="24"/>
                <w:szCs w:val="24"/>
              </w:rPr>
            </w:pPr>
            <w:r>
              <w:rPr>
                <w:rFonts w:hint="eastAsia" w:ascii="黑体" w:hAnsi="黑体" w:eastAsia="黑体" w:cs="宋体"/>
                <w:kern w:val="0"/>
                <w:sz w:val="24"/>
                <w:szCs w:val="24"/>
              </w:rPr>
              <w:t>申请原因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13"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1</w:t>
            </w:r>
          </w:p>
        </w:tc>
        <w:tc>
          <w:tcPr>
            <w:tcW w:w="534" w:type="pct"/>
            <w:noWrap/>
            <w:vAlign w:val="center"/>
          </w:tcPr>
          <w:p>
            <w:pPr>
              <w:snapToGrid w:val="0"/>
              <w:jc w:val="center"/>
              <w:rPr>
                <w:rFonts w:ascii="仿宋_GB2312" w:hAnsi="宋体" w:cs="宋体"/>
                <w:kern w:val="0"/>
                <w:sz w:val="24"/>
                <w:szCs w:val="24"/>
              </w:rPr>
            </w:pPr>
            <w:r>
              <w:rPr>
                <w:rFonts w:ascii="仿宋_GB2312" w:hAnsi="宋体" w:cs="宋体"/>
                <w:kern w:val="0"/>
                <w:sz w:val="24"/>
                <w:szCs w:val="24"/>
              </w:rPr>
              <w:t>　</w:t>
            </w:r>
          </w:p>
        </w:tc>
        <w:tc>
          <w:tcPr>
            <w:tcW w:w="586"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425"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532"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532"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534"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587"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640" w:type="pct"/>
            <w:noWrap/>
            <w:vAlign w:val="center"/>
          </w:tcPr>
          <w:p>
            <w:pPr>
              <w:snapToGrid w:val="0"/>
              <w:jc w:val="center"/>
              <w:rPr>
                <w:rFonts w:ascii="仿宋_GB2312" w:hAnsi="宋体" w:cs="宋体"/>
                <w:kern w:val="0"/>
                <w:sz w:val="24"/>
                <w:szCs w:val="24"/>
              </w:rPr>
            </w:pPr>
          </w:p>
        </w:tc>
        <w:tc>
          <w:tcPr>
            <w:tcW w:w="315"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13"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2</w:t>
            </w:r>
          </w:p>
        </w:tc>
        <w:tc>
          <w:tcPr>
            <w:tcW w:w="534" w:type="pct"/>
            <w:noWrap/>
            <w:vAlign w:val="center"/>
          </w:tcPr>
          <w:p>
            <w:pPr>
              <w:snapToGrid w:val="0"/>
              <w:jc w:val="center"/>
              <w:rPr>
                <w:rFonts w:ascii="仿宋_GB2312" w:hAnsi="宋体" w:cs="宋体"/>
                <w:kern w:val="0"/>
                <w:sz w:val="24"/>
                <w:szCs w:val="24"/>
              </w:rPr>
            </w:pPr>
            <w:r>
              <w:rPr>
                <w:rFonts w:ascii="仿宋_GB2312" w:hAnsi="宋体" w:cs="宋体"/>
                <w:kern w:val="0"/>
                <w:sz w:val="24"/>
                <w:szCs w:val="24"/>
              </w:rPr>
              <w:t>　</w:t>
            </w:r>
          </w:p>
        </w:tc>
        <w:tc>
          <w:tcPr>
            <w:tcW w:w="586"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425"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532"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532"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534"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587"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c>
          <w:tcPr>
            <w:tcW w:w="640" w:type="pct"/>
            <w:noWrap/>
            <w:vAlign w:val="center"/>
          </w:tcPr>
          <w:p>
            <w:pPr>
              <w:snapToGrid w:val="0"/>
              <w:jc w:val="center"/>
              <w:rPr>
                <w:rFonts w:ascii="仿宋_GB2312" w:hAnsi="宋体" w:cs="宋体"/>
                <w:kern w:val="0"/>
                <w:sz w:val="24"/>
                <w:szCs w:val="24"/>
              </w:rPr>
            </w:pPr>
          </w:p>
        </w:tc>
        <w:tc>
          <w:tcPr>
            <w:tcW w:w="315" w:type="pct"/>
            <w:noWrap w:val="0"/>
            <w:vAlign w:val="center"/>
          </w:tcPr>
          <w:p>
            <w:pPr>
              <w:snapToGrid w:val="0"/>
              <w:jc w:val="center"/>
              <w:rPr>
                <w:rFonts w:ascii="仿宋_GB2312" w:hAnsi="宋体" w:cs="宋体"/>
                <w:kern w:val="0"/>
                <w:sz w:val="24"/>
                <w:szCs w:val="24"/>
              </w:rPr>
            </w:pPr>
            <w:r>
              <w:rPr>
                <w:rFonts w:hint="eastAsia" w:ascii="仿宋_GB2312" w:hAnsi="宋体" w:cs="宋体"/>
                <w:kern w:val="0"/>
                <w:sz w:val="24"/>
                <w:szCs w:val="24"/>
              </w:rPr>
              <w:t>　</w:t>
            </w:r>
          </w:p>
        </w:tc>
      </w:tr>
    </w:tbl>
    <w:p>
      <w:pPr>
        <w:tabs>
          <w:tab w:val="left" w:pos="5573"/>
          <w:tab w:val="right" w:pos="7706"/>
        </w:tabs>
        <w:autoSpaceDE w:val="0"/>
        <w:autoSpaceDN w:val="0"/>
        <w:adjustRightInd w:val="0"/>
        <w:snapToGrid w:val="0"/>
        <w:jc w:val="left"/>
        <w:rPr>
          <w:rFonts w:hint="eastAsia" w:ascii="楷体_GB2312" w:hAnsi="宋体" w:eastAsia="楷体_GB2312" w:cs="宋体"/>
          <w:kern w:val="0"/>
          <w:sz w:val="21"/>
          <w:szCs w:val="21"/>
        </w:rPr>
      </w:pPr>
    </w:p>
    <w:p>
      <w:pPr>
        <w:tabs>
          <w:tab w:val="left" w:pos="5573"/>
          <w:tab w:val="right" w:pos="7706"/>
        </w:tabs>
        <w:autoSpaceDE w:val="0"/>
        <w:autoSpaceDN w:val="0"/>
        <w:adjustRightInd w:val="0"/>
        <w:ind w:right="600"/>
        <w:jc w:val="left"/>
        <w:rPr>
          <w:rFonts w:hint="eastAsia" w:ascii="楷体_GB2312" w:hAnsi="仿宋" w:eastAsia="楷体_GB2312" w:cs="宋体"/>
          <w:kern w:val="0"/>
          <w:sz w:val="24"/>
          <w:szCs w:val="24"/>
        </w:rPr>
        <w:sectPr>
          <w:pgSz w:w="16838" w:h="11906" w:orient="landscape"/>
          <w:pgMar w:top="1361" w:right="2268" w:bottom="1531" w:left="1644" w:header="0" w:footer="1814" w:gutter="0"/>
          <w:cols w:space="720" w:num="1"/>
          <w:docGrid w:type="linesAndChars" w:linePitch="587" w:charSpace="95"/>
        </w:sectPr>
      </w:pPr>
      <w:r>
        <w:rPr>
          <w:rFonts w:hint="eastAsia" w:ascii="楷体_GB2312" w:hAnsi="宋体" w:eastAsia="楷体_GB2312" w:cs="宋体"/>
          <w:kern w:val="0"/>
          <w:sz w:val="24"/>
          <w:szCs w:val="24"/>
        </w:rPr>
        <w:t>备注：申请原因应填写：丢失、损坏、新增、高校口令牌申请成为生源地系统电子口令牌</w:t>
      </w:r>
    </w:p>
    <w:p>
      <w:pPr>
        <w:rPr>
          <w:rFonts w:hint="eastAsia" w:ascii="黑体" w:hAnsi="宋体" w:eastAsia="黑体" w:cs="宋体"/>
          <w:kern w:val="0"/>
          <w:sz w:val="32"/>
          <w:szCs w:val="32"/>
        </w:rPr>
      </w:pPr>
      <w:r>
        <w:rPr>
          <w:rFonts w:hint="eastAsia" w:ascii="黑体" w:hAnsi="宋体" w:eastAsia="黑体" w:cs="宋体"/>
          <w:kern w:val="0"/>
          <w:sz w:val="32"/>
          <w:szCs w:val="32"/>
        </w:rPr>
        <w:t>附件4</w:t>
      </w:r>
    </w:p>
    <w:p>
      <w:pPr>
        <w:rPr>
          <w:rFonts w:hint="eastAsia" w:ascii="黑体" w:hAnsi="黑体" w:eastAsia="黑体"/>
        </w:rPr>
      </w:pPr>
    </w:p>
    <w:p>
      <w:pPr>
        <w:snapToGrid w:val="0"/>
        <w:jc w:val="center"/>
        <w:rPr>
          <w:rFonts w:ascii="方正小标宋简体" w:eastAsia="方正小标宋简体"/>
          <w:sz w:val="44"/>
          <w:szCs w:val="44"/>
        </w:rPr>
      </w:pPr>
      <w:r>
        <w:rPr>
          <w:rFonts w:ascii="方正小标宋简体" w:eastAsia="方正小标宋简体"/>
          <w:sz w:val="44"/>
          <w:szCs w:val="44"/>
        </w:rPr>
        <w:t>XX</w:t>
      </w:r>
      <w:r>
        <w:rPr>
          <w:rFonts w:hint="eastAsia" w:ascii="方正小标宋简体" w:eastAsia="方正小标宋简体"/>
          <w:sz w:val="44"/>
          <w:szCs w:val="44"/>
        </w:rPr>
        <w:t>县生源地信用助学贷款工作周报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481"/>
        <w:gridCol w:w="1482"/>
        <w:gridCol w:w="1482"/>
        <w:gridCol w:w="986"/>
        <w:gridCol w:w="496"/>
        <w:gridCol w:w="35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1"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一：时间</w:t>
            </w:r>
          </w:p>
        </w:tc>
        <w:tc>
          <w:tcPr>
            <w:tcW w:w="7558" w:type="dxa"/>
            <w:gridSpan w:val="7"/>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2022年7月  日至 日（第</w:t>
            </w:r>
            <w:r>
              <w:rPr>
                <w:rFonts w:hint="eastAsia" w:ascii="仿宋_GB2312" w:hAnsi="黑体"/>
                <w:spacing w:val="-14"/>
                <w:sz w:val="24"/>
                <w:szCs w:val="24"/>
                <w:u w:val="single"/>
              </w:rPr>
              <w:t xml:space="preserve">  </w:t>
            </w:r>
            <w:r>
              <w:rPr>
                <w:rFonts w:hint="eastAsia" w:ascii="仿宋_GB2312" w:hAnsi="黑体"/>
                <w:spacing w:val="-14"/>
                <w:sz w:val="24"/>
                <w:szCs w:val="24"/>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81"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二、人员配置</w:t>
            </w:r>
          </w:p>
          <w:p>
            <w:pPr>
              <w:snapToGrid w:val="0"/>
              <w:jc w:val="center"/>
              <w:rPr>
                <w:rFonts w:hint="eastAsia" w:ascii="仿宋_GB2312" w:hAnsi="黑体"/>
                <w:spacing w:val="-14"/>
                <w:sz w:val="24"/>
                <w:szCs w:val="24"/>
              </w:rPr>
            </w:pPr>
            <w:r>
              <w:rPr>
                <w:rFonts w:hint="eastAsia" w:ascii="仿宋_GB2312" w:hAnsi="黑体"/>
                <w:spacing w:val="-14"/>
                <w:sz w:val="24"/>
                <w:szCs w:val="24"/>
              </w:rPr>
              <w:t>情况</w:t>
            </w:r>
          </w:p>
        </w:tc>
        <w:tc>
          <w:tcPr>
            <w:tcW w:w="1481"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总人数</w:t>
            </w:r>
          </w:p>
        </w:tc>
        <w:tc>
          <w:tcPr>
            <w:tcW w:w="1482"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工作人员人数</w:t>
            </w:r>
          </w:p>
        </w:tc>
        <w:tc>
          <w:tcPr>
            <w:tcW w:w="1482"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人</w:t>
            </w:r>
          </w:p>
        </w:tc>
        <w:tc>
          <w:tcPr>
            <w:tcW w:w="1482" w:type="dxa"/>
            <w:gridSpan w:val="2"/>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其中，志愿者人数</w:t>
            </w:r>
          </w:p>
        </w:tc>
        <w:tc>
          <w:tcPr>
            <w:tcW w:w="1631" w:type="dxa"/>
            <w:gridSpan w:val="2"/>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81"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1"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人</w:t>
            </w:r>
          </w:p>
        </w:tc>
        <w:tc>
          <w:tcPr>
            <w:tcW w:w="1482"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2"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2" w:type="dxa"/>
            <w:gridSpan w:val="2"/>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631" w:type="dxa"/>
            <w:gridSpan w:val="2"/>
            <w:vMerge w:val="continue"/>
            <w:noWrap w:val="0"/>
            <w:tcMar>
              <w:left w:w="28" w:type="dxa"/>
              <w:right w:w="28" w:type="dxa"/>
            </w:tcMar>
            <w:vAlign w:val="center"/>
          </w:tcPr>
          <w:p>
            <w:pPr>
              <w:snapToGrid w:val="0"/>
              <w:jc w:val="center"/>
              <w:rPr>
                <w:rFonts w:hint="eastAsia" w:ascii="仿宋_GB2312" w:hAnsi="黑体"/>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81"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三、设备配备运行情况</w:t>
            </w:r>
          </w:p>
        </w:tc>
        <w:tc>
          <w:tcPr>
            <w:tcW w:w="1481"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设备配备数量</w:t>
            </w:r>
          </w:p>
        </w:tc>
        <w:tc>
          <w:tcPr>
            <w:tcW w:w="1482"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套</w:t>
            </w:r>
          </w:p>
        </w:tc>
        <w:tc>
          <w:tcPr>
            <w:tcW w:w="1482"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设备运行情况</w:t>
            </w:r>
          </w:p>
        </w:tc>
        <w:tc>
          <w:tcPr>
            <w:tcW w:w="1482" w:type="dxa"/>
            <w:gridSpan w:val="2"/>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运行正常数量</w:t>
            </w:r>
          </w:p>
        </w:tc>
        <w:tc>
          <w:tcPr>
            <w:tcW w:w="1631" w:type="dxa"/>
            <w:gridSpan w:val="2"/>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运行不正常数量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81"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1"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2"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2"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2" w:type="dxa"/>
            <w:gridSpan w:val="2"/>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套</w:t>
            </w:r>
          </w:p>
        </w:tc>
        <w:tc>
          <w:tcPr>
            <w:tcW w:w="1631" w:type="dxa"/>
            <w:gridSpan w:val="2"/>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81"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四、贷款受理情况</w:t>
            </w:r>
          </w:p>
        </w:tc>
        <w:tc>
          <w:tcPr>
            <w:tcW w:w="1481"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本年贷款人数和金额</w:t>
            </w:r>
          </w:p>
        </w:tc>
        <w:tc>
          <w:tcPr>
            <w:tcW w:w="1482"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人数</w:t>
            </w:r>
          </w:p>
        </w:tc>
        <w:tc>
          <w:tcPr>
            <w:tcW w:w="1482"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人</w:t>
            </w:r>
          </w:p>
        </w:tc>
        <w:tc>
          <w:tcPr>
            <w:tcW w:w="986"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受理效率</w:t>
            </w:r>
          </w:p>
        </w:tc>
        <w:tc>
          <w:tcPr>
            <w:tcW w:w="2127" w:type="dxa"/>
            <w:gridSpan w:val="3"/>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受理一人所需时间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81"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1"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2"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金额</w:t>
            </w:r>
          </w:p>
        </w:tc>
        <w:tc>
          <w:tcPr>
            <w:tcW w:w="1482"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万元</w:t>
            </w:r>
          </w:p>
        </w:tc>
        <w:tc>
          <w:tcPr>
            <w:tcW w:w="986"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2127" w:type="dxa"/>
            <w:gridSpan w:val="3"/>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平均时间：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81"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1"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本周受理情况</w:t>
            </w:r>
          </w:p>
        </w:tc>
        <w:tc>
          <w:tcPr>
            <w:tcW w:w="1482"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人数</w:t>
            </w:r>
          </w:p>
        </w:tc>
        <w:tc>
          <w:tcPr>
            <w:tcW w:w="1482"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人</w:t>
            </w:r>
          </w:p>
        </w:tc>
        <w:tc>
          <w:tcPr>
            <w:tcW w:w="986" w:type="dxa"/>
            <w:vMerge w:val="restart"/>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累计受理情况</w:t>
            </w:r>
          </w:p>
        </w:tc>
        <w:tc>
          <w:tcPr>
            <w:tcW w:w="851" w:type="dxa"/>
            <w:gridSpan w:val="2"/>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人数</w:t>
            </w:r>
          </w:p>
        </w:tc>
        <w:tc>
          <w:tcPr>
            <w:tcW w:w="1276"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81"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1"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1482"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金额</w:t>
            </w:r>
          </w:p>
        </w:tc>
        <w:tc>
          <w:tcPr>
            <w:tcW w:w="1482"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万元</w:t>
            </w:r>
          </w:p>
        </w:tc>
        <w:tc>
          <w:tcPr>
            <w:tcW w:w="986" w:type="dxa"/>
            <w:vMerge w:val="continue"/>
            <w:noWrap w:val="0"/>
            <w:tcMar>
              <w:left w:w="28" w:type="dxa"/>
              <w:right w:w="28" w:type="dxa"/>
            </w:tcMar>
            <w:vAlign w:val="center"/>
          </w:tcPr>
          <w:p>
            <w:pPr>
              <w:snapToGrid w:val="0"/>
              <w:jc w:val="center"/>
              <w:rPr>
                <w:rFonts w:hint="eastAsia" w:ascii="仿宋_GB2312" w:hAnsi="黑体"/>
                <w:spacing w:val="-14"/>
                <w:sz w:val="24"/>
                <w:szCs w:val="24"/>
              </w:rPr>
            </w:pPr>
          </w:p>
        </w:tc>
        <w:tc>
          <w:tcPr>
            <w:tcW w:w="851" w:type="dxa"/>
            <w:gridSpan w:val="2"/>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金额</w:t>
            </w:r>
          </w:p>
        </w:tc>
        <w:tc>
          <w:tcPr>
            <w:tcW w:w="1276"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1481"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五、工作中好的做法</w:t>
            </w:r>
          </w:p>
        </w:tc>
        <w:tc>
          <w:tcPr>
            <w:tcW w:w="7558" w:type="dxa"/>
            <w:gridSpan w:val="7"/>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图文并茂，可以单独附页描述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jc w:val="center"/>
        </w:trPr>
        <w:tc>
          <w:tcPr>
            <w:tcW w:w="1481" w:type="dxa"/>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六、工作中存在的问题及建议</w:t>
            </w:r>
          </w:p>
        </w:tc>
        <w:tc>
          <w:tcPr>
            <w:tcW w:w="7558" w:type="dxa"/>
            <w:gridSpan w:val="7"/>
            <w:noWrap w:val="0"/>
            <w:tcMar>
              <w:left w:w="28" w:type="dxa"/>
              <w:right w:w="28" w:type="dxa"/>
            </w:tcMar>
            <w:vAlign w:val="center"/>
          </w:tcPr>
          <w:p>
            <w:pPr>
              <w:snapToGrid w:val="0"/>
              <w:jc w:val="center"/>
              <w:rPr>
                <w:rFonts w:hint="eastAsia" w:ascii="仿宋_GB2312" w:hAnsi="黑体"/>
                <w:spacing w:val="-14"/>
                <w:sz w:val="24"/>
                <w:szCs w:val="24"/>
              </w:rPr>
            </w:pPr>
            <w:r>
              <w:rPr>
                <w:rFonts w:hint="eastAsia" w:ascii="仿宋_GB2312" w:hAnsi="黑体"/>
                <w:spacing w:val="-14"/>
                <w:sz w:val="24"/>
                <w:szCs w:val="24"/>
              </w:rPr>
              <w:t>可以单独附页</w:t>
            </w:r>
          </w:p>
        </w:tc>
      </w:tr>
    </w:tbl>
    <w:p>
      <w:pPr>
        <w:rPr>
          <w:rFonts w:hint="eastAsia" w:ascii="黑体" w:hAnsi="宋体" w:eastAsia="黑体" w:cs="宋体"/>
          <w:kern w:val="0"/>
          <w:sz w:val="32"/>
          <w:szCs w:val="32"/>
        </w:rPr>
      </w:pPr>
      <w:r>
        <w:rPr>
          <w:rFonts w:hint="eastAsia" w:ascii="黑体" w:hAnsi="宋体" w:eastAsia="黑体" w:cs="宋体"/>
          <w:kern w:val="0"/>
          <w:sz w:val="32"/>
          <w:szCs w:val="32"/>
        </w:rPr>
        <w:t>附件5</w:t>
      </w:r>
    </w:p>
    <w:p>
      <w:pPr>
        <w:jc w:val="center"/>
        <w:rPr>
          <w:rFonts w:ascii="黑体" w:eastAsia="黑体"/>
        </w:rPr>
      </w:pPr>
    </w:p>
    <w:p>
      <w:pPr>
        <w:snapToGrid w:val="0"/>
        <w:jc w:val="center"/>
        <w:rPr>
          <w:rFonts w:ascii="方正小标宋简体" w:eastAsia="方正小标宋简体"/>
          <w:sz w:val="44"/>
          <w:szCs w:val="44"/>
        </w:rPr>
      </w:pPr>
      <w:r>
        <w:rPr>
          <w:rFonts w:hint="eastAsia" w:ascii="方正小标宋简体" w:eastAsia="方正小标宋简体"/>
          <w:sz w:val="44"/>
          <w:szCs w:val="44"/>
        </w:rPr>
        <w:t>关于</w:t>
      </w:r>
      <w:r>
        <w:rPr>
          <w:rFonts w:ascii="方正小标宋简体" w:eastAsia="方正小标宋简体"/>
          <w:sz w:val="44"/>
          <w:szCs w:val="44"/>
        </w:rPr>
        <w:t>XXX</w:t>
      </w:r>
      <w:r>
        <w:rPr>
          <w:rFonts w:hint="eastAsia" w:ascii="方正小标宋简体" w:eastAsia="方正小标宋简体"/>
          <w:sz w:val="44"/>
          <w:szCs w:val="44"/>
        </w:rPr>
        <w:t>助学贷款非恶意逾期情况的证明</w:t>
      </w:r>
    </w:p>
    <w:p>
      <w:pPr>
        <w:ind w:firstLine="600" w:firstLineChars="200"/>
        <w:rPr>
          <w:rFonts w:cs="宋体"/>
        </w:rPr>
      </w:pPr>
    </w:p>
    <w:p>
      <w:pPr>
        <w:ind w:firstLine="640" w:firstLineChars="200"/>
        <w:rPr>
          <w:rFonts w:hint="eastAsia" w:ascii="仿宋_GB2312" w:hAnsi="仿宋"/>
          <w:sz w:val="32"/>
          <w:szCs w:val="32"/>
        </w:rPr>
      </w:pPr>
      <w:r>
        <w:rPr>
          <w:rFonts w:hint="eastAsia" w:ascii="仿宋_GB2312" w:hAnsi="仿宋"/>
          <w:sz w:val="32"/>
          <w:szCs w:val="32"/>
        </w:rPr>
        <w:t>兹有</w:t>
      </w:r>
      <w:r>
        <w:rPr>
          <w:rFonts w:hint="eastAsia" w:ascii="仿宋_GB2312" w:hAnsi="仿宋"/>
          <w:sz w:val="32"/>
          <w:szCs w:val="32"/>
          <w:u w:val="single"/>
        </w:rPr>
        <w:t xml:space="preserve">  xx县中心  </w:t>
      </w:r>
      <w:r>
        <w:rPr>
          <w:rFonts w:hint="eastAsia" w:ascii="仿宋_GB2312" w:hAnsi="仿宋"/>
          <w:sz w:val="32"/>
          <w:szCs w:val="32"/>
        </w:rPr>
        <w:t>学生</w:t>
      </w:r>
      <w:r>
        <w:rPr>
          <w:rFonts w:hint="eastAsia" w:ascii="仿宋_GB2312" w:hAnsi="仿宋"/>
          <w:sz w:val="32"/>
          <w:szCs w:val="32"/>
          <w:u w:val="single"/>
        </w:rPr>
        <w:t xml:space="preserve">      </w:t>
      </w:r>
      <w:r>
        <w:rPr>
          <w:rFonts w:hint="eastAsia" w:ascii="仿宋_GB2312" w:hAnsi="仿宋"/>
          <w:sz w:val="32"/>
          <w:szCs w:val="32"/>
        </w:rPr>
        <w:t>，身份证号：</w:t>
      </w:r>
      <w:r>
        <w:rPr>
          <w:rFonts w:hint="eastAsia" w:ascii="仿宋_GB2312" w:hAnsi="仿宋"/>
          <w:sz w:val="32"/>
          <w:szCs w:val="32"/>
          <w:u w:val="single"/>
        </w:rPr>
        <w:t xml:space="preserve">           </w:t>
      </w:r>
      <w:r>
        <w:rPr>
          <w:rFonts w:hint="eastAsia" w:ascii="仿宋_GB2312" w:hAnsi="仿宋"/>
          <w:sz w:val="32"/>
          <w:szCs w:val="32"/>
        </w:rPr>
        <w:t>，系我行助学贷款客户，与我行共签</w:t>
      </w:r>
      <w:r>
        <w:rPr>
          <w:rFonts w:hint="eastAsia" w:ascii="仿宋_GB2312" w:hAnsi="仿宋"/>
          <w:sz w:val="32"/>
          <w:szCs w:val="32"/>
          <w:u w:val="single"/>
        </w:rPr>
        <w:t xml:space="preserve">   </w:t>
      </w:r>
      <w:r>
        <w:rPr>
          <w:rFonts w:hint="eastAsia" w:ascii="仿宋_GB2312" w:hAnsi="仿宋"/>
          <w:sz w:val="32"/>
          <w:szCs w:val="32"/>
        </w:rPr>
        <w:t>笔助学贷款合同。该客户在贷款使用期间曾出现逾期。经查，截止</w:t>
      </w:r>
      <w:r>
        <w:rPr>
          <w:rFonts w:hint="eastAsia" w:ascii="仿宋_GB2312" w:hAnsi="仿宋"/>
          <w:sz w:val="32"/>
          <w:szCs w:val="32"/>
          <w:u w:val="single"/>
        </w:rPr>
        <w:t xml:space="preserve">    </w:t>
      </w:r>
      <w:r>
        <w:rPr>
          <w:rFonts w:hint="eastAsia" w:ascii="仿宋_GB2312" w:hAnsi="仿宋"/>
          <w:sz w:val="32"/>
          <w:szCs w:val="32"/>
        </w:rPr>
        <w:t>年</w:t>
      </w:r>
      <w:r>
        <w:rPr>
          <w:rFonts w:hint="eastAsia" w:ascii="仿宋_GB2312" w:hAnsi="仿宋"/>
          <w:sz w:val="32"/>
          <w:szCs w:val="32"/>
          <w:u w:val="single"/>
        </w:rPr>
        <w:t xml:space="preserve">    </w:t>
      </w:r>
      <w:r>
        <w:rPr>
          <w:rFonts w:hint="eastAsia" w:ascii="仿宋_GB2312" w:hAnsi="仿宋"/>
          <w:sz w:val="32"/>
          <w:szCs w:val="32"/>
        </w:rPr>
        <w:t>月，该客户此前产生的助学贷款逾期本息已全部清偿，逾期原因为</w:t>
      </w:r>
      <w:r>
        <w:rPr>
          <w:rFonts w:hint="eastAsia" w:ascii="仿宋_GB2312" w:hAnsi="仿宋"/>
          <w:sz w:val="32"/>
          <w:szCs w:val="32"/>
          <w:u w:val="single"/>
        </w:rPr>
        <w:t xml:space="preserve">        </w:t>
      </w:r>
      <w:r>
        <w:rPr>
          <w:rFonts w:hint="eastAsia" w:ascii="仿宋_GB2312" w:hAnsi="仿宋"/>
          <w:sz w:val="32"/>
          <w:szCs w:val="32"/>
        </w:rPr>
        <w:t>，非本人主观恶意拖欠。</w:t>
      </w:r>
    </w:p>
    <w:p>
      <w:pPr>
        <w:ind w:firstLine="640" w:firstLineChars="200"/>
        <w:rPr>
          <w:rFonts w:hint="eastAsia" w:ascii="仿宋_GB2312" w:hAnsi="仿宋"/>
          <w:sz w:val="32"/>
          <w:szCs w:val="32"/>
        </w:rPr>
      </w:pPr>
      <w:r>
        <w:rPr>
          <w:rFonts w:hint="eastAsia" w:ascii="仿宋_GB2312" w:hAnsi="仿宋"/>
          <w:sz w:val="32"/>
          <w:szCs w:val="32"/>
        </w:rPr>
        <w:t>特此证明。</w:t>
      </w:r>
    </w:p>
    <w:p>
      <w:pPr>
        <w:ind w:firstLine="640" w:firstLineChars="200"/>
        <w:rPr>
          <w:rFonts w:hint="eastAsia" w:ascii="仿宋_GB2312" w:hAnsi="仿宋"/>
          <w:sz w:val="32"/>
          <w:szCs w:val="32"/>
        </w:rPr>
      </w:pPr>
    </w:p>
    <w:p>
      <w:pPr>
        <w:ind w:firstLine="640" w:firstLineChars="200"/>
        <w:rPr>
          <w:rFonts w:hint="eastAsia" w:ascii="仿宋_GB2312" w:hAnsi="仿宋"/>
          <w:sz w:val="32"/>
          <w:szCs w:val="32"/>
        </w:rPr>
      </w:pPr>
    </w:p>
    <w:p>
      <w:pPr>
        <w:ind w:firstLine="640" w:firstLineChars="200"/>
        <w:rPr>
          <w:rFonts w:hint="eastAsia" w:ascii="仿宋_GB2312" w:hAnsi="仿宋"/>
          <w:sz w:val="32"/>
          <w:szCs w:val="32"/>
        </w:rPr>
      </w:pPr>
    </w:p>
    <w:p>
      <w:pPr>
        <w:rPr>
          <w:rFonts w:hint="eastAsia" w:ascii="仿宋_GB2312" w:hAnsi="仿宋"/>
          <w:sz w:val="32"/>
          <w:szCs w:val="32"/>
        </w:rPr>
      </w:pPr>
      <w:r>
        <w:rPr>
          <w:rFonts w:hint="eastAsia" w:ascii="仿宋_GB2312" w:hAnsi="仿宋"/>
          <w:sz w:val="32"/>
          <w:szCs w:val="32"/>
        </w:rPr>
        <w:t>县（市、区）资助中心名称 名称  国家开发银行国家助学贷款</w:t>
      </w:r>
    </w:p>
    <w:p>
      <w:pPr>
        <w:ind w:firstLine="640" w:firstLineChars="200"/>
        <w:rPr>
          <w:rFonts w:hint="eastAsia" w:ascii="仿宋_GB2312" w:hAnsi="仿宋"/>
          <w:sz w:val="32"/>
          <w:szCs w:val="32"/>
        </w:rPr>
      </w:pPr>
      <w:r>
        <w:rPr>
          <w:rFonts w:hint="eastAsia" w:ascii="仿宋_GB2312" w:hAnsi="仿宋"/>
          <w:sz w:val="32"/>
          <w:szCs w:val="32"/>
        </w:rPr>
        <w:t>（公章）                     河南管理分中心（公章）</w:t>
      </w:r>
    </w:p>
    <w:p>
      <w:pPr>
        <w:tabs>
          <w:tab w:val="left" w:pos="5573"/>
          <w:tab w:val="right" w:pos="7706"/>
        </w:tabs>
        <w:autoSpaceDE w:val="0"/>
        <w:autoSpaceDN w:val="0"/>
        <w:ind w:firstLine="640" w:firstLineChars="200"/>
        <w:rPr>
          <w:rFonts w:hint="eastAsia" w:ascii="仿宋_GB2312" w:hAnsi="仿宋" w:cs="宋体"/>
          <w:kern w:val="0"/>
          <w:sz w:val="32"/>
          <w:szCs w:val="32"/>
        </w:rPr>
      </w:pPr>
      <w:r>
        <w:rPr>
          <w:rFonts w:hint="eastAsia" w:ascii="仿宋_GB2312" w:hAnsi="仿宋"/>
          <w:sz w:val="32"/>
          <w:szCs w:val="32"/>
        </w:rPr>
        <w:t xml:space="preserve">      年   月   日                年   月   日</w:t>
      </w:r>
    </w:p>
    <w:p>
      <w:pPr>
        <w:tabs>
          <w:tab w:val="left" w:pos="5573"/>
          <w:tab w:val="right" w:pos="7706"/>
        </w:tabs>
        <w:autoSpaceDE w:val="0"/>
        <w:autoSpaceDN w:val="0"/>
        <w:rPr>
          <w:rFonts w:hint="eastAsia" w:ascii="黑体" w:hAnsi="仿宋" w:eastAsia="黑体" w:cs="宋体"/>
          <w:kern w:val="0"/>
        </w:rPr>
      </w:pPr>
    </w:p>
    <w:p>
      <w:pPr>
        <w:tabs>
          <w:tab w:val="left" w:pos="5573"/>
          <w:tab w:val="right" w:pos="7706"/>
        </w:tabs>
        <w:autoSpaceDE w:val="0"/>
        <w:autoSpaceDN w:val="0"/>
        <w:rPr>
          <w:rFonts w:ascii="黑体" w:hAnsi="仿宋" w:eastAsia="黑体" w:cs="宋体"/>
          <w:kern w:val="0"/>
        </w:rPr>
        <w:sectPr>
          <w:pgSz w:w="11906" w:h="16838"/>
          <w:pgMar w:top="1644" w:right="1361" w:bottom="2268" w:left="1531" w:header="0" w:footer="1814" w:gutter="0"/>
          <w:cols w:space="720" w:num="1"/>
          <w:docGrid w:type="linesAndChars" w:linePitch="587" w:charSpace="95"/>
        </w:sectPr>
      </w:pPr>
    </w:p>
    <w:p>
      <w:pPr>
        <w:rPr>
          <w:rFonts w:hint="eastAsia" w:ascii="黑体" w:hAnsi="宋体" w:eastAsia="黑体" w:cs="宋体"/>
          <w:kern w:val="0"/>
          <w:sz w:val="32"/>
          <w:szCs w:val="32"/>
        </w:rPr>
      </w:pPr>
      <w:r>
        <w:rPr>
          <w:rFonts w:hint="eastAsia" w:ascii="黑体" w:hAnsi="宋体" w:eastAsia="黑体" w:cs="宋体"/>
          <w:kern w:val="0"/>
          <w:sz w:val="32"/>
          <w:szCs w:val="32"/>
        </w:rPr>
        <w:t>附件6</w:t>
      </w:r>
    </w:p>
    <w:p>
      <w:pPr>
        <w:rPr>
          <w:rFonts w:hint="eastAsia" w:ascii="黑体" w:hAnsi="宋体" w:eastAsia="黑体" w:cs="宋体"/>
          <w:kern w:val="0"/>
        </w:rPr>
      </w:pPr>
    </w:p>
    <w:p>
      <w:pPr>
        <w:snapToGrid w:val="0"/>
        <w:jc w:val="center"/>
        <w:rPr>
          <w:rFonts w:hint="eastAsia" w:ascii="方正小标宋简体" w:hAnsi="宋体" w:eastAsia="方正小标宋简体" w:cs="宋体"/>
          <w:spacing w:val="-12"/>
          <w:kern w:val="0"/>
          <w:sz w:val="44"/>
          <w:szCs w:val="44"/>
        </w:rPr>
      </w:pPr>
      <w:r>
        <w:rPr>
          <w:rFonts w:hint="eastAsia" w:ascii="方正小标宋简体" w:hAnsi="宋体" w:eastAsia="方正小标宋简体" w:cs="宋体"/>
          <w:spacing w:val="-12"/>
          <w:kern w:val="0"/>
          <w:sz w:val="44"/>
          <w:szCs w:val="44"/>
        </w:rPr>
        <w:t>河南省生源地信用助学贷款高校联系人员名单</w:t>
      </w:r>
    </w:p>
    <w:p>
      <w:pPr>
        <w:snapToGrid w:val="0"/>
        <w:jc w:val="center"/>
        <w:rPr>
          <w:rFonts w:hint="eastAsia" w:ascii="方正小标宋简体" w:eastAsia="方正小标宋简体"/>
          <w:spacing w:val="-12"/>
          <w:sz w:val="10"/>
          <w:szCs w:val="10"/>
        </w:rPr>
      </w:pPr>
    </w:p>
    <w:tbl>
      <w:tblPr>
        <w:tblStyle w:val="9"/>
        <w:tblW w:w="13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0"/>
        <w:gridCol w:w="1705"/>
        <w:gridCol w:w="2642"/>
        <w:gridCol w:w="3093"/>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3890" w:type="dxa"/>
            <w:noWrap/>
            <w:vAlign w:val="center"/>
          </w:tcPr>
          <w:p>
            <w:pPr>
              <w:jc w:val="center"/>
              <w:rPr>
                <w:rFonts w:hint="eastAsia" w:ascii="黑体" w:hAnsi="宋体" w:eastAsia="黑体" w:cs="宋体"/>
                <w:kern w:val="0"/>
                <w:sz w:val="24"/>
                <w:szCs w:val="24"/>
              </w:rPr>
            </w:pPr>
            <w:r>
              <w:rPr>
                <w:rFonts w:hint="eastAsia" w:ascii="黑体" w:hAnsi="宋体" w:eastAsia="黑体" w:cs="宋体"/>
                <w:kern w:val="0"/>
                <w:sz w:val="24"/>
                <w:szCs w:val="24"/>
              </w:rPr>
              <w:t>高校名称</w:t>
            </w:r>
          </w:p>
        </w:tc>
        <w:tc>
          <w:tcPr>
            <w:tcW w:w="1705" w:type="dxa"/>
            <w:noWrap/>
            <w:vAlign w:val="center"/>
          </w:tcPr>
          <w:p>
            <w:pPr>
              <w:jc w:val="center"/>
              <w:rPr>
                <w:rFonts w:hint="eastAsia" w:ascii="黑体" w:hAnsi="宋体" w:eastAsia="黑体" w:cs="宋体"/>
                <w:kern w:val="0"/>
                <w:sz w:val="24"/>
                <w:szCs w:val="24"/>
              </w:rPr>
            </w:pPr>
            <w:r>
              <w:rPr>
                <w:rFonts w:hint="eastAsia" w:ascii="黑体" w:hAnsi="宋体" w:eastAsia="黑体" w:cs="宋体"/>
                <w:kern w:val="0"/>
                <w:sz w:val="24"/>
                <w:szCs w:val="24"/>
              </w:rPr>
              <w:t>联系人</w:t>
            </w:r>
          </w:p>
        </w:tc>
        <w:tc>
          <w:tcPr>
            <w:tcW w:w="2642" w:type="dxa"/>
            <w:noWrap/>
            <w:vAlign w:val="center"/>
          </w:tcPr>
          <w:p>
            <w:pPr>
              <w:jc w:val="center"/>
              <w:rPr>
                <w:rFonts w:hint="eastAsia" w:ascii="黑体" w:hAnsi="宋体" w:eastAsia="黑体" w:cs="宋体"/>
                <w:kern w:val="0"/>
                <w:sz w:val="24"/>
                <w:szCs w:val="24"/>
              </w:rPr>
            </w:pPr>
            <w:r>
              <w:rPr>
                <w:rFonts w:hint="eastAsia" w:ascii="黑体" w:hAnsi="宋体" w:eastAsia="黑体" w:cs="宋体"/>
                <w:kern w:val="0"/>
                <w:sz w:val="24"/>
                <w:szCs w:val="24"/>
              </w:rPr>
              <w:t>联系电话</w:t>
            </w:r>
          </w:p>
        </w:tc>
        <w:tc>
          <w:tcPr>
            <w:tcW w:w="3093" w:type="dxa"/>
            <w:noWrap w:val="0"/>
            <w:vAlign w:val="center"/>
          </w:tcPr>
          <w:p>
            <w:pPr>
              <w:jc w:val="center"/>
              <w:rPr>
                <w:rFonts w:hint="eastAsia" w:ascii="黑体" w:hAnsi="宋体" w:eastAsia="黑体" w:cs="宋体"/>
                <w:kern w:val="0"/>
                <w:sz w:val="24"/>
                <w:szCs w:val="24"/>
              </w:rPr>
            </w:pPr>
            <w:r>
              <w:rPr>
                <w:rFonts w:hint="eastAsia" w:ascii="黑体" w:hAnsi="宋体" w:eastAsia="黑体" w:cs="宋体"/>
                <w:kern w:val="0"/>
                <w:sz w:val="24"/>
                <w:szCs w:val="24"/>
              </w:rPr>
              <w:t>手机号码</w:t>
            </w:r>
          </w:p>
        </w:tc>
        <w:tc>
          <w:tcPr>
            <w:tcW w:w="1860" w:type="dxa"/>
            <w:noWrap/>
            <w:vAlign w:val="center"/>
          </w:tcPr>
          <w:p>
            <w:pPr>
              <w:jc w:val="center"/>
              <w:rPr>
                <w:rFonts w:hint="eastAsia" w:ascii="黑体" w:hAnsi="宋体" w:eastAsia="黑体" w:cs="宋体"/>
                <w:kern w:val="0"/>
                <w:sz w:val="24"/>
                <w:szCs w:val="24"/>
              </w:rPr>
            </w:pPr>
            <w:r>
              <w:rPr>
                <w:rFonts w:hint="eastAsia" w:ascii="黑体" w:hAnsi="宋体" w:eastAsia="黑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3890" w:type="dxa"/>
            <w:noWrap/>
            <w:vAlign w:val="center"/>
          </w:tcPr>
          <w:p>
            <w:pPr>
              <w:jc w:val="center"/>
              <w:rPr>
                <w:rFonts w:ascii="宋体" w:hAnsi="宋体" w:eastAsia="宋体" w:cs="宋体"/>
                <w:kern w:val="0"/>
                <w:sz w:val="22"/>
                <w:szCs w:val="22"/>
              </w:rPr>
            </w:pPr>
          </w:p>
        </w:tc>
        <w:tc>
          <w:tcPr>
            <w:tcW w:w="1705" w:type="dxa"/>
            <w:noWrap/>
            <w:vAlign w:val="center"/>
          </w:tcPr>
          <w:p>
            <w:pPr>
              <w:jc w:val="center"/>
              <w:rPr>
                <w:rFonts w:ascii="宋体" w:hAnsi="宋体" w:eastAsia="宋体" w:cs="宋体"/>
                <w:kern w:val="0"/>
                <w:sz w:val="22"/>
                <w:szCs w:val="22"/>
              </w:rPr>
            </w:pPr>
          </w:p>
        </w:tc>
        <w:tc>
          <w:tcPr>
            <w:tcW w:w="2642" w:type="dxa"/>
            <w:noWrap/>
            <w:vAlign w:val="center"/>
          </w:tcPr>
          <w:p>
            <w:pPr>
              <w:jc w:val="center"/>
              <w:rPr>
                <w:rFonts w:ascii="宋体" w:hAnsi="宋体" w:eastAsia="宋体" w:cs="宋体"/>
                <w:kern w:val="0"/>
                <w:sz w:val="22"/>
                <w:szCs w:val="22"/>
              </w:rPr>
            </w:pPr>
          </w:p>
        </w:tc>
        <w:tc>
          <w:tcPr>
            <w:tcW w:w="3093" w:type="dxa"/>
            <w:noWrap w:val="0"/>
            <w:vAlign w:val="center"/>
          </w:tcPr>
          <w:p>
            <w:pPr>
              <w:jc w:val="center"/>
              <w:rPr>
                <w:rFonts w:ascii="宋体" w:hAnsi="宋体" w:eastAsia="宋体" w:cs="宋体"/>
                <w:kern w:val="0"/>
                <w:sz w:val="22"/>
                <w:szCs w:val="22"/>
              </w:rPr>
            </w:pPr>
          </w:p>
        </w:tc>
        <w:tc>
          <w:tcPr>
            <w:tcW w:w="1860" w:type="dxa"/>
            <w:noWrap/>
            <w:vAlign w:val="center"/>
          </w:tcPr>
          <w:p>
            <w:pPr>
              <w:jc w:val="center"/>
              <w:rPr>
                <w:rFonts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3890" w:type="dxa"/>
            <w:noWrap/>
            <w:vAlign w:val="center"/>
          </w:tcPr>
          <w:p>
            <w:pPr>
              <w:jc w:val="center"/>
              <w:rPr>
                <w:rFonts w:ascii="宋体" w:hAnsi="宋体" w:eastAsia="宋体" w:cs="宋体"/>
                <w:kern w:val="0"/>
                <w:sz w:val="22"/>
                <w:szCs w:val="22"/>
              </w:rPr>
            </w:pPr>
          </w:p>
        </w:tc>
        <w:tc>
          <w:tcPr>
            <w:tcW w:w="1705" w:type="dxa"/>
            <w:noWrap/>
            <w:vAlign w:val="center"/>
          </w:tcPr>
          <w:p>
            <w:pPr>
              <w:jc w:val="center"/>
              <w:rPr>
                <w:rFonts w:ascii="宋体" w:hAnsi="宋体" w:eastAsia="宋体" w:cs="宋体"/>
                <w:kern w:val="0"/>
                <w:sz w:val="22"/>
                <w:szCs w:val="22"/>
              </w:rPr>
            </w:pPr>
          </w:p>
        </w:tc>
        <w:tc>
          <w:tcPr>
            <w:tcW w:w="2642" w:type="dxa"/>
            <w:noWrap/>
            <w:vAlign w:val="center"/>
          </w:tcPr>
          <w:p>
            <w:pPr>
              <w:jc w:val="center"/>
              <w:rPr>
                <w:rFonts w:ascii="宋体" w:hAnsi="宋体" w:eastAsia="宋体" w:cs="宋体"/>
                <w:kern w:val="0"/>
                <w:sz w:val="22"/>
                <w:szCs w:val="22"/>
              </w:rPr>
            </w:pPr>
          </w:p>
        </w:tc>
        <w:tc>
          <w:tcPr>
            <w:tcW w:w="3093" w:type="dxa"/>
            <w:noWrap w:val="0"/>
            <w:vAlign w:val="center"/>
          </w:tcPr>
          <w:p>
            <w:pPr>
              <w:jc w:val="center"/>
              <w:rPr>
                <w:rFonts w:ascii="宋体" w:hAnsi="宋体" w:eastAsia="宋体" w:cs="宋体"/>
                <w:kern w:val="0"/>
                <w:sz w:val="22"/>
                <w:szCs w:val="22"/>
              </w:rPr>
            </w:pPr>
          </w:p>
        </w:tc>
        <w:tc>
          <w:tcPr>
            <w:tcW w:w="1860" w:type="dxa"/>
            <w:noWrap/>
            <w:vAlign w:val="center"/>
          </w:tcPr>
          <w:p>
            <w:pPr>
              <w:jc w:val="center"/>
              <w:rPr>
                <w:rFonts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3890" w:type="dxa"/>
            <w:noWrap/>
            <w:vAlign w:val="center"/>
          </w:tcPr>
          <w:p>
            <w:pPr>
              <w:jc w:val="center"/>
              <w:rPr>
                <w:rFonts w:ascii="宋体" w:hAnsi="宋体" w:eastAsia="宋体" w:cs="宋体"/>
                <w:kern w:val="0"/>
                <w:sz w:val="22"/>
                <w:szCs w:val="22"/>
              </w:rPr>
            </w:pPr>
          </w:p>
        </w:tc>
        <w:tc>
          <w:tcPr>
            <w:tcW w:w="1705" w:type="dxa"/>
            <w:noWrap/>
            <w:vAlign w:val="center"/>
          </w:tcPr>
          <w:p>
            <w:pPr>
              <w:jc w:val="center"/>
              <w:rPr>
                <w:rFonts w:ascii="宋体" w:hAnsi="宋体" w:eastAsia="宋体" w:cs="宋体"/>
                <w:kern w:val="0"/>
                <w:sz w:val="22"/>
                <w:szCs w:val="22"/>
              </w:rPr>
            </w:pPr>
          </w:p>
        </w:tc>
        <w:tc>
          <w:tcPr>
            <w:tcW w:w="2642" w:type="dxa"/>
            <w:noWrap/>
            <w:vAlign w:val="center"/>
          </w:tcPr>
          <w:p>
            <w:pPr>
              <w:jc w:val="center"/>
              <w:rPr>
                <w:rFonts w:ascii="宋体" w:hAnsi="宋体" w:eastAsia="宋体" w:cs="宋体"/>
                <w:kern w:val="0"/>
                <w:sz w:val="22"/>
                <w:szCs w:val="22"/>
              </w:rPr>
            </w:pPr>
          </w:p>
        </w:tc>
        <w:tc>
          <w:tcPr>
            <w:tcW w:w="3093" w:type="dxa"/>
            <w:noWrap w:val="0"/>
            <w:vAlign w:val="center"/>
          </w:tcPr>
          <w:p>
            <w:pPr>
              <w:jc w:val="center"/>
              <w:rPr>
                <w:rFonts w:ascii="宋体" w:hAnsi="宋体" w:eastAsia="宋体" w:cs="宋体"/>
                <w:kern w:val="0"/>
                <w:sz w:val="22"/>
                <w:szCs w:val="22"/>
              </w:rPr>
            </w:pPr>
          </w:p>
        </w:tc>
        <w:tc>
          <w:tcPr>
            <w:tcW w:w="1860" w:type="dxa"/>
            <w:noWrap/>
            <w:vAlign w:val="center"/>
          </w:tcPr>
          <w:p>
            <w:pPr>
              <w:jc w:val="center"/>
              <w:rPr>
                <w:rFonts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3890" w:type="dxa"/>
            <w:noWrap/>
            <w:vAlign w:val="center"/>
          </w:tcPr>
          <w:p>
            <w:pPr>
              <w:jc w:val="center"/>
              <w:rPr>
                <w:rFonts w:ascii="宋体" w:hAnsi="宋体" w:eastAsia="宋体" w:cs="宋体"/>
                <w:kern w:val="0"/>
                <w:sz w:val="22"/>
                <w:szCs w:val="22"/>
              </w:rPr>
            </w:pPr>
          </w:p>
        </w:tc>
        <w:tc>
          <w:tcPr>
            <w:tcW w:w="1705" w:type="dxa"/>
            <w:noWrap/>
            <w:vAlign w:val="center"/>
          </w:tcPr>
          <w:p>
            <w:pPr>
              <w:jc w:val="center"/>
              <w:rPr>
                <w:rFonts w:ascii="宋体" w:hAnsi="宋体" w:eastAsia="宋体" w:cs="宋体"/>
                <w:kern w:val="0"/>
                <w:sz w:val="22"/>
                <w:szCs w:val="22"/>
              </w:rPr>
            </w:pPr>
          </w:p>
        </w:tc>
        <w:tc>
          <w:tcPr>
            <w:tcW w:w="2642" w:type="dxa"/>
            <w:noWrap/>
            <w:vAlign w:val="center"/>
          </w:tcPr>
          <w:p>
            <w:pPr>
              <w:jc w:val="center"/>
              <w:rPr>
                <w:rFonts w:ascii="宋体" w:hAnsi="宋体" w:eastAsia="宋体" w:cs="宋体"/>
                <w:kern w:val="0"/>
                <w:sz w:val="22"/>
                <w:szCs w:val="22"/>
              </w:rPr>
            </w:pPr>
          </w:p>
        </w:tc>
        <w:tc>
          <w:tcPr>
            <w:tcW w:w="3093" w:type="dxa"/>
            <w:noWrap w:val="0"/>
            <w:vAlign w:val="center"/>
          </w:tcPr>
          <w:p>
            <w:pPr>
              <w:jc w:val="center"/>
              <w:rPr>
                <w:rFonts w:ascii="宋体" w:hAnsi="宋体" w:eastAsia="宋体" w:cs="宋体"/>
                <w:kern w:val="0"/>
                <w:sz w:val="22"/>
                <w:szCs w:val="22"/>
              </w:rPr>
            </w:pPr>
          </w:p>
        </w:tc>
        <w:tc>
          <w:tcPr>
            <w:tcW w:w="1860" w:type="dxa"/>
            <w:noWrap/>
            <w:vAlign w:val="center"/>
          </w:tcPr>
          <w:p>
            <w:pPr>
              <w:jc w:val="center"/>
              <w:rPr>
                <w:rFonts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3890" w:type="dxa"/>
            <w:noWrap/>
            <w:vAlign w:val="center"/>
          </w:tcPr>
          <w:p>
            <w:pPr>
              <w:jc w:val="center"/>
              <w:rPr>
                <w:rFonts w:ascii="宋体" w:hAnsi="宋体" w:eastAsia="宋体" w:cs="宋体"/>
                <w:kern w:val="0"/>
                <w:sz w:val="22"/>
                <w:szCs w:val="22"/>
              </w:rPr>
            </w:pPr>
          </w:p>
        </w:tc>
        <w:tc>
          <w:tcPr>
            <w:tcW w:w="1705" w:type="dxa"/>
            <w:noWrap/>
            <w:vAlign w:val="center"/>
          </w:tcPr>
          <w:p>
            <w:pPr>
              <w:jc w:val="center"/>
              <w:rPr>
                <w:rFonts w:ascii="宋体" w:hAnsi="宋体" w:eastAsia="宋体" w:cs="宋体"/>
                <w:kern w:val="0"/>
                <w:sz w:val="22"/>
                <w:szCs w:val="22"/>
              </w:rPr>
            </w:pPr>
          </w:p>
        </w:tc>
        <w:tc>
          <w:tcPr>
            <w:tcW w:w="2642" w:type="dxa"/>
            <w:noWrap/>
            <w:vAlign w:val="center"/>
          </w:tcPr>
          <w:p>
            <w:pPr>
              <w:jc w:val="center"/>
              <w:rPr>
                <w:rFonts w:ascii="宋体" w:hAnsi="宋体" w:eastAsia="宋体" w:cs="宋体"/>
                <w:kern w:val="0"/>
                <w:sz w:val="22"/>
                <w:szCs w:val="22"/>
              </w:rPr>
            </w:pPr>
          </w:p>
        </w:tc>
        <w:tc>
          <w:tcPr>
            <w:tcW w:w="3093" w:type="dxa"/>
            <w:noWrap w:val="0"/>
            <w:vAlign w:val="center"/>
          </w:tcPr>
          <w:p>
            <w:pPr>
              <w:jc w:val="center"/>
              <w:rPr>
                <w:rFonts w:ascii="宋体" w:hAnsi="宋体" w:eastAsia="宋体" w:cs="宋体"/>
                <w:kern w:val="0"/>
                <w:sz w:val="22"/>
                <w:szCs w:val="22"/>
              </w:rPr>
            </w:pPr>
          </w:p>
        </w:tc>
        <w:tc>
          <w:tcPr>
            <w:tcW w:w="1860" w:type="dxa"/>
            <w:noWrap/>
            <w:vAlign w:val="center"/>
          </w:tcPr>
          <w:p>
            <w:pPr>
              <w:jc w:val="center"/>
              <w:rPr>
                <w:rFonts w:ascii="宋体" w:hAnsi="宋体" w:eastAsia="宋体" w:cs="宋体"/>
                <w:kern w:val="0"/>
                <w:sz w:val="22"/>
                <w:szCs w:val="22"/>
              </w:rPr>
            </w:pPr>
          </w:p>
        </w:tc>
      </w:tr>
    </w:tbl>
    <w:p>
      <w:pPr>
        <w:tabs>
          <w:tab w:val="left" w:pos="5573"/>
          <w:tab w:val="right" w:pos="7706"/>
        </w:tabs>
        <w:autoSpaceDE w:val="0"/>
        <w:autoSpaceDN w:val="0"/>
        <w:snapToGrid w:val="0"/>
        <w:ind w:left="719" w:hanging="717" w:hangingChars="299"/>
        <w:rPr>
          <w:rFonts w:hint="eastAsia" w:ascii="楷体_GB2312" w:hAnsi="宋体" w:eastAsia="楷体_GB2312" w:cs="宋体"/>
          <w:kern w:val="0"/>
          <w:sz w:val="24"/>
          <w:szCs w:val="24"/>
        </w:rPr>
      </w:pPr>
    </w:p>
    <w:p>
      <w:pPr>
        <w:tabs>
          <w:tab w:val="left" w:pos="5573"/>
          <w:tab w:val="right" w:pos="7706"/>
        </w:tabs>
        <w:autoSpaceDE w:val="0"/>
        <w:autoSpaceDN w:val="0"/>
        <w:snapToGrid w:val="0"/>
        <w:ind w:left="719" w:hanging="717" w:hangingChars="299"/>
        <w:rPr>
          <w:rFonts w:hint="eastAsia" w:ascii="楷体_GB2312" w:hAnsi="宋体" w:eastAsia="楷体_GB2312" w:cs="宋体"/>
          <w:kern w:val="0"/>
          <w:sz w:val="24"/>
          <w:szCs w:val="24"/>
        </w:rPr>
      </w:pPr>
      <w:r>
        <w:rPr>
          <w:rFonts w:hint="eastAsia" w:ascii="楷体_GB2312" w:hAnsi="宋体" w:eastAsia="楷体_GB2312" w:cs="宋体"/>
          <w:kern w:val="0"/>
          <w:sz w:val="24"/>
          <w:szCs w:val="24"/>
        </w:rPr>
        <w:t>备注：每个高校原则上留资助中心主任和生源地助学贷款工作人员至少两名人员。</w:t>
      </w:r>
    </w:p>
    <w:p>
      <w:pPr>
        <w:tabs>
          <w:tab w:val="left" w:pos="5573"/>
          <w:tab w:val="right" w:pos="7706"/>
        </w:tabs>
        <w:autoSpaceDE w:val="0"/>
        <w:autoSpaceDN w:val="0"/>
        <w:snapToGrid w:val="0"/>
        <w:ind w:left="898" w:hanging="897" w:hangingChars="299"/>
        <w:rPr>
          <w:rFonts w:hint="eastAsia" w:ascii="楷体_GB2312" w:hAnsi="仿宋" w:eastAsia="楷体_GB2312" w:cs="宋体"/>
          <w:kern w:val="0"/>
        </w:rPr>
      </w:pPr>
    </w:p>
    <w:p>
      <w:pPr>
        <w:tabs>
          <w:tab w:val="left" w:pos="5573"/>
          <w:tab w:val="right" w:pos="7706"/>
        </w:tabs>
        <w:autoSpaceDE w:val="0"/>
        <w:autoSpaceDN w:val="0"/>
        <w:rPr>
          <w:rFonts w:hint="eastAsia" w:ascii="黑体" w:hAnsi="仿宋" w:eastAsia="黑体" w:cs="宋体"/>
          <w:kern w:val="0"/>
        </w:rPr>
      </w:pPr>
    </w:p>
    <w:p>
      <w:pPr>
        <w:rPr>
          <w:rFonts w:hint="eastAsia" w:ascii="黑体" w:hAnsi="宋体" w:eastAsia="黑体" w:cs="宋体"/>
          <w:kern w:val="0"/>
          <w:sz w:val="32"/>
          <w:szCs w:val="32"/>
        </w:rPr>
      </w:pPr>
      <w:r>
        <w:rPr>
          <w:rFonts w:hint="eastAsia" w:ascii="黑体" w:hAnsi="宋体" w:eastAsia="黑体" w:cs="宋体"/>
          <w:kern w:val="0"/>
          <w:sz w:val="32"/>
          <w:szCs w:val="32"/>
        </w:rPr>
        <w:t>附件7</w:t>
      </w:r>
    </w:p>
    <w:p>
      <w:pPr>
        <w:tabs>
          <w:tab w:val="left" w:pos="5573"/>
          <w:tab w:val="right" w:pos="7706"/>
        </w:tabs>
        <w:autoSpaceDE w:val="0"/>
        <w:autoSpaceDN w:val="0"/>
        <w:rPr>
          <w:rFonts w:hint="eastAsia" w:ascii="黑体" w:hAnsi="仿宋" w:eastAsia="黑体" w:cs="宋体"/>
          <w:kern w:val="0"/>
        </w:rPr>
      </w:pPr>
    </w:p>
    <w:p>
      <w:pPr>
        <w:snapToGrid w:val="0"/>
        <w:jc w:val="center"/>
        <w:rPr>
          <w:rFonts w:hint="eastAsia" w:ascii="方正小标宋简体" w:hAnsi="宋体" w:eastAsia="方正小标宋简体" w:cs="宋体"/>
          <w:spacing w:val="-12"/>
          <w:kern w:val="0"/>
          <w:sz w:val="44"/>
          <w:szCs w:val="44"/>
        </w:rPr>
      </w:pPr>
      <w:r>
        <w:rPr>
          <w:rFonts w:hint="eastAsia" w:ascii="方正小标宋简体" w:hAnsi="宋体" w:eastAsia="方正小标宋简体" w:cs="宋体"/>
          <w:spacing w:val="-12"/>
          <w:kern w:val="0"/>
          <w:sz w:val="44"/>
          <w:szCs w:val="44"/>
        </w:rPr>
        <w:t>河南省国家助学贷款企业微信信息采集表</w:t>
      </w:r>
    </w:p>
    <w:tbl>
      <w:tblPr>
        <w:tblStyle w:val="9"/>
        <w:tblW w:w="1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1178"/>
        <w:gridCol w:w="1200"/>
        <w:gridCol w:w="1800"/>
        <w:gridCol w:w="3624"/>
        <w:gridCol w:w="643"/>
        <w:gridCol w:w="1539"/>
        <w:gridCol w:w="178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6" w:type="dxa"/>
            <w:noWrap/>
            <w:vAlign w:val="center"/>
          </w:tcPr>
          <w:p>
            <w:pPr>
              <w:tabs>
                <w:tab w:val="left" w:pos="5573"/>
                <w:tab w:val="right" w:pos="7706"/>
              </w:tabs>
              <w:autoSpaceDE w:val="0"/>
              <w:autoSpaceDN w:val="0"/>
              <w:snapToGrid w:val="0"/>
              <w:jc w:val="center"/>
              <w:rPr>
                <w:rFonts w:hint="eastAsia" w:ascii="黑体" w:hAnsi="黑体" w:eastAsia="黑体" w:cs="宋体"/>
                <w:bCs/>
                <w:kern w:val="0"/>
                <w:sz w:val="24"/>
                <w:szCs w:val="24"/>
              </w:rPr>
            </w:pPr>
            <w:r>
              <w:rPr>
                <w:rFonts w:hint="eastAsia" w:ascii="黑体" w:hAnsi="黑体" w:eastAsia="黑体" w:cs="宋体"/>
                <w:bCs/>
                <w:kern w:val="0"/>
                <w:sz w:val="24"/>
                <w:szCs w:val="24"/>
              </w:rPr>
              <w:t>姓名</w:t>
            </w:r>
          </w:p>
        </w:tc>
        <w:tc>
          <w:tcPr>
            <w:tcW w:w="1178" w:type="dxa"/>
            <w:noWrap/>
            <w:vAlign w:val="center"/>
          </w:tcPr>
          <w:p>
            <w:pPr>
              <w:tabs>
                <w:tab w:val="left" w:pos="5573"/>
                <w:tab w:val="right" w:pos="7706"/>
              </w:tabs>
              <w:autoSpaceDE w:val="0"/>
              <w:autoSpaceDN w:val="0"/>
              <w:snapToGrid w:val="0"/>
              <w:jc w:val="center"/>
              <w:rPr>
                <w:rFonts w:hint="eastAsia" w:ascii="黑体" w:hAnsi="黑体" w:eastAsia="黑体" w:cs="宋体"/>
                <w:bCs/>
                <w:kern w:val="0"/>
                <w:sz w:val="24"/>
                <w:szCs w:val="24"/>
              </w:rPr>
            </w:pPr>
            <w:r>
              <w:rPr>
                <w:rFonts w:hint="eastAsia" w:ascii="黑体" w:hAnsi="黑体" w:eastAsia="黑体" w:cs="宋体"/>
                <w:bCs/>
                <w:kern w:val="0"/>
                <w:sz w:val="24"/>
                <w:szCs w:val="24"/>
              </w:rPr>
              <w:t>帐号</w:t>
            </w:r>
          </w:p>
        </w:tc>
        <w:tc>
          <w:tcPr>
            <w:tcW w:w="1200" w:type="dxa"/>
            <w:noWrap/>
            <w:vAlign w:val="center"/>
          </w:tcPr>
          <w:p>
            <w:pPr>
              <w:tabs>
                <w:tab w:val="left" w:pos="5573"/>
                <w:tab w:val="right" w:pos="7706"/>
              </w:tabs>
              <w:autoSpaceDE w:val="0"/>
              <w:autoSpaceDN w:val="0"/>
              <w:snapToGrid w:val="0"/>
              <w:jc w:val="center"/>
              <w:rPr>
                <w:rFonts w:hint="eastAsia" w:ascii="黑体" w:hAnsi="黑体" w:eastAsia="黑体" w:cs="宋体"/>
                <w:bCs/>
                <w:kern w:val="0"/>
                <w:sz w:val="24"/>
                <w:szCs w:val="24"/>
              </w:rPr>
            </w:pPr>
            <w:r>
              <w:rPr>
                <w:rFonts w:hint="eastAsia" w:ascii="黑体" w:hAnsi="黑体" w:eastAsia="黑体" w:cs="宋体"/>
                <w:bCs/>
                <w:kern w:val="0"/>
                <w:sz w:val="24"/>
                <w:szCs w:val="24"/>
              </w:rPr>
              <w:t>别名</w:t>
            </w:r>
          </w:p>
        </w:tc>
        <w:tc>
          <w:tcPr>
            <w:tcW w:w="1800" w:type="dxa"/>
            <w:noWrap/>
            <w:vAlign w:val="center"/>
          </w:tcPr>
          <w:p>
            <w:pPr>
              <w:tabs>
                <w:tab w:val="left" w:pos="5573"/>
                <w:tab w:val="right" w:pos="7706"/>
              </w:tabs>
              <w:autoSpaceDE w:val="0"/>
              <w:autoSpaceDN w:val="0"/>
              <w:snapToGrid w:val="0"/>
              <w:jc w:val="center"/>
              <w:rPr>
                <w:rFonts w:hint="eastAsia" w:ascii="黑体" w:hAnsi="黑体" w:eastAsia="黑体" w:cs="宋体"/>
                <w:bCs/>
                <w:kern w:val="0"/>
                <w:sz w:val="24"/>
                <w:szCs w:val="24"/>
              </w:rPr>
            </w:pPr>
            <w:r>
              <w:rPr>
                <w:rFonts w:hint="eastAsia" w:ascii="黑体" w:hAnsi="黑体" w:eastAsia="黑体" w:cs="宋体"/>
                <w:bCs/>
                <w:kern w:val="0"/>
                <w:sz w:val="24"/>
                <w:szCs w:val="24"/>
              </w:rPr>
              <w:t>职务</w:t>
            </w:r>
          </w:p>
        </w:tc>
        <w:tc>
          <w:tcPr>
            <w:tcW w:w="3624" w:type="dxa"/>
            <w:noWrap/>
            <w:vAlign w:val="center"/>
          </w:tcPr>
          <w:p>
            <w:pPr>
              <w:tabs>
                <w:tab w:val="left" w:pos="5573"/>
                <w:tab w:val="right" w:pos="7706"/>
              </w:tabs>
              <w:autoSpaceDE w:val="0"/>
              <w:autoSpaceDN w:val="0"/>
              <w:snapToGrid w:val="0"/>
              <w:jc w:val="center"/>
              <w:rPr>
                <w:rFonts w:hint="eastAsia" w:ascii="黑体" w:hAnsi="黑体" w:eastAsia="黑体" w:cs="宋体"/>
                <w:bCs/>
                <w:kern w:val="0"/>
                <w:sz w:val="24"/>
                <w:szCs w:val="24"/>
              </w:rPr>
            </w:pPr>
            <w:r>
              <w:rPr>
                <w:rFonts w:hint="eastAsia" w:ascii="黑体" w:hAnsi="黑体" w:eastAsia="黑体" w:cs="宋体"/>
                <w:bCs/>
                <w:kern w:val="0"/>
                <w:sz w:val="24"/>
                <w:szCs w:val="24"/>
              </w:rPr>
              <w:t>部门</w:t>
            </w:r>
          </w:p>
        </w:tc>
        <w:tc>
          <w:tcPr>
            <w:tcW w:w="643" w:type="dxa"/>
            <w:noWrap/>
            <w:vAlign w:val="center"/>
          </w:tcPr>
          <w:p>
            <w:pPr>
              <w:tabs>
                <w:tab w:val="left" w:pos="5573"/>
                <w:tab w:val="right" w:pos="7706"/>
              </w:tabs>
              <w:autoSpaceDE w:val="0"/>
              <w:autoSpaceDN w:val="0"/>
              <w:snapToGrid w:val="0"/>
              <w:jc w:val="center"/>
              <w:rPr>
                <w:rFonts w:hint="eastAsia" w:ascii="黑体" w:hAnsi="黑体" w:eastAsia="黑体" w:cs="宋体"/>
                <w:bCs/>
                <w:kern w:val="0"/>
                <w:sz w:val="24"/>
                <w:szCs w:val="24"/>
              </w:rPr>
            </w:pPr>
            <w:r>
              <w:rPr>
                <w:rFonts w:hint="eastAsia" w:ascii="黑体" w:hAnsi="黑体" w:eastAsia="黑体" w:cs="宋体"/>
                <w:bCs/>
                <w:kern w:val="0"/>
                <w:sz w:val="24"/>
                <w:szCs w:val="24"/>
              </w:rPr>
              <w:t>性别</w:t>
            </w:r>
          </w:p>
        </w:tc>
        <w:tc>
          <w:tcPr>
            <w:tcW w:w="1539" w:type="dxa"/>
            <w:noWrap/>
            <w:vAlign w:val="center"/>
          </w:tcPr>
          <w:p>
            <w:pPr>
              <w:tabs>
                <w:tab w:val="left" w:pos="5573"/>
                <w:tab w:val="right" w:pos="7706"/>
              </w:tabs>
              <w:autoSpaceDE w:val="0"/>
              <w:autoSpaceDN w:val="0"/>
              <w:snapToGrid w:val="0"/>
              <w:jc w:val="center"/>
              <w:rPr>
                <w:rFonts w:hint="eastAsia" w:ascii="黑体" w:hAnsi="黑体" w:eastAsia="黑体" w:cs="宋体"/>
                <w:bCs/>
                <w:kern w:val="0"/>
                <w:sz w:val="24"/>
                <w:szCs w:val="24"/>
              </w:rPr>
            </w:pPr>
            <w:r>
              <w:rPr>
                <w:rFonts w:hint="eastAsia" w:ascii="黑体" w:hAnsi="黑体" w:eastAsia="黑体" w:cs="宋体"/>
                <w:bCs/>
                <w:kern w:val="0"/>
                <w:sz w:val="24"/>
                <w:szCs w:val="24"/>
              </w:rPr>
              <w:t>手机</w:t>
            </w:r>
          </w:p>
        </w:tc>
        <w:tc>
          <w:tcPr>
            <w:tcW w:w="1779" w:type="dxa"/>
            <w:noWrap/>
            <w:vAlign w:val="center"/>
          </w:tcPr>
          <w:p>
            <w:pPr>
              <w:tabs>
                <w:tab w:val="left" w:pos="5573"/>
                <w:tab w:val="right" w:pos="7706"/>
              </w:tabs>
              <w:autoSpaceDE w:val="0"/>
              <w:autoSpaceDN w:val="0"/>
              <w:snapToGrid w:val="0"/>
              <w:jc w:val="center"/>
              <w:rPr>
                <w:rFonts w:hint="eastAsia" w:ascii="黑体" w:hAnsi="黑体" w:eastAsia="黑体" w:cs="宋体"/>
                <w:bCs/>
                <w:kern w:val="0"/>
                <w:sz w:val="24"/>
                <w:szCs w:val="24"/>
              </w:rPr>
            </w:pPr>
            <w:r>
              <w:rPr>
                <w:rFonts w:hint="eastAsia" w:ascii="黑体" w:hAnsi="黑体" w:eastAsia="黑体" w:cs="宋体"/>
                <w:bCs/>
                <w:kern w:val="0"/>
                <w:sz w:val="24"/>
                <w:szCs w:val="24"/>
              </w:rPr>
              <w:t>座机</w:t>
            </w:r>
          </w:p>
        </w:tc>
        <w:tc>
          <w:tcPr>
            <w:tcW w:w="2020" w:type="dxa"/>
            <w:noWrap/>
            <w:vAlign w:val="center"/>
          </w:tcPr>
          <w:p>
            <w:pPr>
              <w:tabs>
                <w:tab w:val="left" w:pos="5573"/>
                <w:tab w:val="right" w:pos="7706"/>
              </w:tabs>
              <w:autoSpaceDE w:val="0"/>
              <w:autoSpaceDN w:val="0"/>
              <w:snapToGrid w:val="0"/>
              <w:jc w:val="center"/>
              <w:rPr>
                <w:rFonts w:hint="eastAsia" w:ascii="黑体" w:hAnsi="黑体" w:eastAsia="黑体" w:cs="宋体"/>
                <w:bCs/>
                <w:kern w:val="0"/>
                <w:sz w:val="24"/>
                <w:szCs w:val="24"/>
              </w:rPr>
            </w:pPr>
            <w:r>
              <w:rPr>
                <w:rFonts w:hint="eastAsia" w:ascii="黑体" w:hAnsi="黑体" w:eastAsia="黑体" w:cs="宋体"/>
                <w:bCs/>
                <w:kern w:val="0"/>
                <w:sz w:val="24"/>
                <w:szCs w:val="24"/>
              </w:rPr>
              <w:t>个人邮箱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6"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张三</w:t>
            </w:r>
          </w:p>
        </w:tc>
        <w:tc>
          <w:tcPr>
            <w:tcW w:w="1178"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zhangsan</w:t>
            </w:r>
          </w:p>
        </w:tc>
        <w:tc>
          <w:tcPr>
            <w:tcW w:w="1200"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ZhangSan</w:t>
            </w:r>
          </w:p>
        </w:tc>
        <w:tc>
          <w:tcPr>
            <w:tcW w:w="1800"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资助中心工作人员</w:t>
            </w:r>
          </w:p>
        </w:tc>
        <w:tc>
          <w:tcPr>
            <w:tcW w:w="3624"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河南学生资助/高校/省属高校/河南工业大学</w:t>
            </w:r>
          </w:p>
        </w:tc>
        <w:tc>
          <w:tcPr>
            <w:tcW w:w="643"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女</w:t>
            </w:r>
          </w:p>
        </w:tc>
        <w:tc>
          <w:tcPr>
            <w:tcW w:w="1539"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137********</w:t>
            </w:r>
          </w:p>
        </w:tc>
        <w:tc>
          <w:tcPr>
            <w:tcW w:w="1779"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0371-********</w:t>
            </w:r>
          </w:p>
        </w:tc>
        <w:tc>
          <w:tcPr>
            <w:tcW w:w="2020"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fldChar w:fldCharType="begin"/>
            </w:r>
            <w:r>
              <w:rPr>
                <w:rFonts w:hint="eastAsia" w:ascii="仿宋_GB2312" w:hAnsi="仿宋" w:cs="宋体"/>
                <w:kern w:val="0"/>
                <w:sz w:val="24"/>
                <w:szCs w:val="24"/>
              </w:rPr>
              <w:instrText xml:space="preserve"> HYPERLINK "mailto:764350503@QQ.com" \o "mailto:764350503@QQ.com" </w:instrText>
            </w:r>
            <w:r>
              <w:rPr>
                <w:rFonts w:hint="eastAsia" w:ascii="仿宋_GB2312" w:hAnsi="仿宋" w:cs="宋体"/>
                <w:kern w:val="0"/>
                <w:sz w:val="24"/>
                <w:szCs w:val="24"/>
              </w:rPr>
              <w:fldChar w:fldCharType="separate"/>
            </w:r>
            <w:r>
              <w:rPr>
                <w:rFonts w:hint="eastAsia" w:ascii="仿宋_GB2312"/>
                <w:sz w:val="24"/>
                <w:szCs w:val="24"/>
              </w:rPr>
              <w:t>*****8@qq.com</w:t>
            </w:r>
            <w:r>
              <w:rPr>
                <w:rFonts w:hint="eastAsia" w:ascii="仿宋_GB2312" w:hAnsi="仿宋" w:cs="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6"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李四</w:t>
            </w:r>
          </w:p>
        </w:tc>
        <w:tc>
          <w:tcPr>
            <w:tcW w:w="1178"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手机号码</w:t>
            </w:r>
          </w:p>
        </w:tc>
        <w:tc>
          <w:tcPr>
            <w:tcW w:w="1200"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LiSi</w:t>
            </w:r>
          </w:p>
        </w:tc>
        <w:tc>
          <w:tcPr>
            <w:tcW w:w="1800"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资助中心工作人员</w:t>
            </w:r>
          </w:p>
        </w:tc>
        <w:tc>
          <w:tcPr>
            <w:tcW w:w="3624"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河南学生资助/高校/市属高校/漯河职业技术学院</w:t>
            </w:r>
          </w:p>
        </w:tc>
        <w:tc>
          <w:tcPr>
            <w:tcW w:w="643"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男</w:t>
            </w:r>
          </w:p>
        </w:tc>
        <w:tc>
          <w:tcPr>
            <w:tcW w:w="1539"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1863952****</w:t>
            </w:r>
          </w:p>
        </w:tc>
        <w:tc>
          <w:tcPr>
            <w:tcW w:w="1779"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0395-*******</w:t>
            </w:r>
          </w:p>
        </w:tc>
        <w:tc>
          <w:tcPr>
            <w:tcW w:w="2020"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fldChar w:fldCharType="begin"/>
            </w:r>
            <w:r>
              <w:rPr>
                <w:rFonts w:hint="eastAsia" w:ascii="仿宋_GB2312" w:hAnsi="仿宋" w:cs="宋体"/>
                <w:kern w:val="0"/>
                <w:sz w:val="24"/>
                <w:szCs w:val="24"/>
              </w:rPr>
              <w:instrText xml:space="preserve"> HYPERLINK "mailto:764350503@QQ.com" \o "mailto:764350503@QQ.com" </w:instrText>
            </w:r>
            <w:r>
              <w:rPr>
                <w:rFonts w:hint="eastAsia" w:ascii="仿宋_GB2312" w:hAnsi="仿宋" w:cs="宋体"/>
                <w:kern w:val="0"/>
                <w:sz w:val="24"/>
                <w:szCs w:val="24"/>
              </w:rPr>
              <w:fldChar w:fldCharType="separate"/>
            </w:r>
            <w:r>
              <w:rPr>
                <w:rFonts w:hint="eastAsia" w:ascii="仿宋_GB2312"/>
                <w:sz w:val="24"/>
                <w:szCs w:val="24"/>
              </w:rPr>
              <w:t>*****9@163.com</w:t>
            </w:r>
            <w:r>
              <w:rPr>
                <w:rFonts w:hint="eastAsia" w:ascii="仿宋_GB2312" w:hAnsi="仿宋" w:cs="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6"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王五</w:t>
            </w:r>
          </w:p>
        </w:tc>
        <w:tc>
          <w:tcPr>
            <w:tcW w:w="1178"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微信号码</w:t>
            </w:r>
          </w:p>
        </w:tc>
        <w:tc>
          <w:tcPr>
            <w:tcW w:w="1200"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WangWu</w:t>
            </w:r>
          </w:p>
        </w:tc>
        <w:tc>
          <w:tcPr>
            <w:tcW w:w="1800"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资助中心工作人员</w:t>
            </w:r>
          </w:p>
        </w:tc>
        <w:tc>
          <w:tcPr>
            <w:tcW w:w="3624"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河南学生资助/高校/民办高校/河南师范大学新联学院</w:t>
            </w:r>
          </w:p>
        </w:tc>
        <w:tc>
          <w:tcPr>
            <w:tcW w:w="643" w:type="dxa"/>
            <w:noWrap/>
            <w:vAlign w:val="center"/>
          </w:tcPr>
          <w:p>
            <w:pPr>
              <w:tabs>
                <w:tab w:val="left" w:pos="5573"/>
                <w:tab w:val="right" w:pos="7706"/>
              </w:tabs>
              <w:autoSpaceDE w:val="0"/>
              <w:autoSpaceDN w:val="0"/>
              <w:snapToGrid w:val="0"/>
              <w:jc w:val="center"/>
              <w:rPr>
                <w:rFonts w:hint="eastAsia" w:ascii="仿宋_GB2312" w:hAnsi="仿宋" w:cs="宋体"/>
                <w:kern w:val="0"/>
                <w:sz w:val="24"/>
                <w:szCs w:val="24"/>
              </w:rPr>
            </w:pPr>
            <w:r>
              <w:rPr>
                <w:rFonts w:hint="eastAsia" w:ascii="仿宋_GB2312" w:hAnsi="仿宋" w:cs="宋体"/>
                <w:kern w:val="0"/>
                <w:sz w:val="24"/>
                <w:szCs w:val="24"/>
              </w:rPr>
              <w:t>男</w:t>
            </w:r>
          </w:p>
        </w:tc>
        <w:tc>
          <w:tcPr>
            <w:tcW w:w="1539"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138373*****</w:t>
            </w:r>
          </w:p>
        </w:tc>
        <w:tc>
          <w:tcPr>
            <w:tcW w:w="1779"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t>0373-*******</w:t>
            </w:r>
          </w:p>
        </w:tc>
        <w:tc>
          <w:tcPr>
            <w:tcW w:w="2020" w:type="dxa"/>
            <w:noWrap/>
            <w:vAlign w:val="center"/>
          </w:tcPr>
          <w:p>
            <w:pPr>
              <w:tabs>
                <w:tab w:val="left" w:pos="5573"/>
                <w:tab w:val="right" w:pos="7706"/>
              </w:tabs>
              <w:autoSpaceDE w:val="0"/>
              <w:autoSpaceDN w:val="0"/>
              <w:snapToGrid w:val="0"/>
              <w:rPr>
                <w:rFonts w:hint="eastAsia" w:ascii="仿宋_GB2312" w:hAnsi="仿宋" w:cs="宋体"/>
                <w:kern w:val="0"/>
                <w:sz w:val="24"/>
                <w:szCs w:val="24"/>
              </w:rPr>
            </w:pPr>
            <w:r>
              <w:rPr>
                <w:rFonts w:hint="eastAsia" w:ascii="仿宋_GB2312" w:hAnsi="仿宋" w:cs="宋体"/>
                <w:kern w:val="0"/>
                <w:sz w:val="24"/>
                <w:szCs w:val="24"/>
              </w:rPr>
              <w:fldChar w:fldCharType="begin"/>
            </w:r>
            <w:r>
              <w:rPr>
                <w:rFonts w:hint="eastAsia" w:ascii="仿宋_GB2312" w:hAnsi="仿宋" w:cs="宋体"/>
                <w:kern w:val="0"/>
                <w:sz w:val="24"/>
                <w:szCs w:val="24"/>
              </w:rPr>
              <w:instrText xml:space="preserve"> HYPERLINK "mailto:764350503@QQ.com" \o "mailto:764350503@QQ.com" </w:instrText>
            </w:r>
            <w:r>
              <w:rPr>
                <w:rFonts w:hint="eastAsia" w:ascii="仿宋_GB2312" w:hAnsi="仿宋" w:cs="宋体"/>
                <w:kern w:val="0"/>
                <w:sz w:val="24"/>
                <w:szCs w:val="24"/>
              </w:rPr>
              <w:fldChar w:fldCharType="separate"/>
            </w:r>
            <w:r>
              <w:rPr>
                <w:rFonts w:hint="eastAsia" w:ascii="仿宋_GB2312"/>
                <w:sz w:val="24"/>
                <w:szCs w:val="24"/>
              </w:rPr>
              <w:t>*****10@126.com</w:t>
            </w:r>
            <w:r>
              <w:rPr>
                <w:rFonts w:hint="eastAsia" w:ascii="仿宋_GB2312" w:hAnsi="仿宋" w:cs="宋体"/>
                <w:kern w:val="0"/>
                <w:sz w:val="24"/>
                <w:szCs w:val="24"/>
              </w:rPr>
              <w:fldChar w:fldCharType="end"/>
            </w:r>
          </w:p>
        </w:tc>
      </w:tr>
    </w:tbl>
    <w:p>
      <w:pPr>
        <w:tabs>
          <w:tab w:val="left" w:pos="5573"/>
          <w:tab w:val="right" w:pos="7706"/>
        </w:tabs>
        <w:autoSpaceDE w:val="0"/>
        <w:autoSpaceDN w:val="0"/>
        <w:snapToGrid w:val="0"/>
        <w:ind w:left="719" w:hanging="717" w:hangingChars="299"/>
        <w:rPr>
          <w:rFonts w:hint="eastAsia" w:ascii="楷体_GB2312" w:hAnsi="宋体" w:eastAsia="楷体_GB2312" w:cs="宋体"/>
          <w:kern w:val="0"/>
          <w:sz w:val="24"/>
          <w:szCs w:val="24"/>
        </w:rPr>
      </w:pPr>
    </w:p>
    <w:p>
      <w:pPr>
        <w:tabs>
          <w:tab w:val="left" w:pos="5573"/>
          <w:tab w:val="right" w:pos="7706"/>
        </w:tabs>
        <w:autoSpaceDE w:val="0"/>
        <w:autoSpaceDN w:val="0"/>
        <w:snapToGrid w:val="0"/>
        <w:ind w:left="719" w:hanging="717" w:hangingChars="299"/>
        <w:rPr>
          <w:rFonts w:hint="eastAsia" w:ascii="楷体_GB2312" w:hAnsi="宋体" w:eastAsia="楷体_GB2312" w:cs="宋体"/>
          <w:kern w:val="0"/>
          <w:sz w:val="24"/>
          <w:szCs w:val="24"/>
        </w:rPr>
      </w:pPr>
      <w:r>
        <w:rPr>
          <w:rFonts w:hint="eastAsia" w:ascii="楷体_GB2312" w:hAnsi="宋体" w:eastAsia="楷体_GB2312" w:cs="宋体"/>
          <w:kern w:val="0"/>
          <w:sz w:val="24"/>
          <w:szCs w:val="24"/>
        </w:rPr>
        <w:t>备注：此表格仅未申请加入国家助学贷款企业微信或加入人数不符合要求的高校填写，每所高校至少填报2人，资助中心主任必须填报。</w:t>
      </w:r>
    </w:p>
    <w:p>
      <w:pPr>
        <w:tabs>
          <w:tab w:val="left" w:pos="930"/>
        </w:tabs>
        <w:rPr>
          <w:rFonts w:ascii="黑体" w:hAnsi="仿宋" w:eastAsia="黑体" w:cs="宋体"/>
        </w:rPr>
      </w:pPr>
    </w:p>
    <w:p>
      <w:pPr>
        <w:rPr>
          <w:rFonts w:hint="eastAsia" w:ascii="黑体" w:hAnsi="仿宋" w:eastAsia="黑体" w:cs="宋体"/>
        </w:rPr>
      </w:pPr>
    </w:p>
    <w:p>
      <w:pPr>
        <w:rPr>
          <w:rFonts w:hint="eastAsia" w:ascii="黑体" w:hAnsi="仿宋" w:eastAsia="黑体" w:cs="宋体"/>
        </w:rPr>
      </w:pPr>
    </w:p>
    <w:p/>
    <w:p/>
    <w:p>
      <w:pPr>
        <w:jc w:val="left"/>
        <w:sectPr>
          <w:footerReference r:id="rId4" w:type="default"/>
          <w:footerReference r:id="rId5" w:type="even"/>
          <w:pgSz w:w="16838" w:h="11906" w:orient="landscape"/>
          <w:pgMar w:top="1361" w:right="2268" w:bottom="1531" w:left="1644" w:header="0" w:footer="1814" w:gutter="0"/>
          <w:cols w:space="720" w:num="1"/>
          <w:docGrid w:type="linesAndChars" w:linePitch="587" w:charSpace="95"/>
        </w:sectPr>
      </w:pPr>
    </w:p>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tabs>
          <w:tab w:val="left" w:pos="653"/>
          <w:tab w:val="left" w:pos="3495"/>
          <w:tab w:val="left" w:pos="5398"/>
          <w:tab w:val="left" w:pos="7209"/>
          <w:tab w:val="left" w:pos="8939"/>
          <w:tab w:val="left" w:pos="10750"/>
          <w:tab w:val="left" w:pos="11701"/>
          <w:tab w:val="left" w:pos="12427"/>
          <w:tab w:val="left" w:pos="12992"/>
          <w:tab w:val="left" w:pos="13533"/>
          <w:tab w:val="left" w:pos="14249"/>
        </w:tabs>
        <w:ind w:left="87"/>
        <w:jc w:val="left"/>
        <w:rPr>
          <w:rFonts w:hint="eastAsia" w:ascii="宋体" w:hAnsi="宋体" w:eastAsia="宋体" w:cs="宋体"/>
          <w:color w:val="000000"/>
          <w:kern w:val="0"/>
          <w:sz w:val="24"/>
          <w:szCs w:val="24"/>
        </w:rPr>
      </w:pPr>
    </w:p>
    <w:p>
      <w:pPr>
        <w:jc w:val="center"/>
        <w:rPr>
          <w:rFonts w:hint="eastAsia"/>
          <w:sz w:val="32"/>
          <w:szCs w:val="32"/>
        </w:rPr>
      </w:pPr>
      <w:r>
        <w:drawing>
          <wp:anchor distT="0" distB="0" distL="114300" distR="114300" simplePos="0" relativeHeight="251660288" behindDoc="1" locked="0" layoutInCell="1" allowOverlap="1">
            <wp:simplePos x="0" y="0"/>
            <wp:positionH relativeFrom="column">
              <wp:posOffset>3900170</wp:posOffset>
            </wp:positionH>
            <wp:positionV relativeFrom="paragraph">
              <wp:posOffset>435610</wp:posOffset>
            </wp:positionV>
            <wp:extent cx="1788160" cy="477520"/>
            <wp:effectExtent l="0" t="0" r="2540" b="17780"/>
            <wp:wrapNone/>
            <wp:docPr id="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7"/>
                    <pic:cNvPicPr>
                      <a:picLocks noChangeAspect="1"/>
                    </pic:cNvPicPr>
                  </pic:nvPicPr>
                  <pic:blipFill>
                    <a:blip r:embed="rId9"/>
                    <a:stretch>
                      <a:fillRect/>
                    </a:stretch>
                  </pic:blipFill>
                  <pic:spPr>
                    <a:xfrm>
                      <a:off x="0" y="0"/>
                      <a:ext cx="1788160" cy="477520"/>
                    </a:xfrm>
                    <a:prstGeom prst="rect">
                      <a:avLst/>
                    </a:prstGeom>
                    <a:noFill/>
                    <a:ln>
                      <a:noFill/>
                    </a:ln>
                  </pic:spPr>
                </pic:pic>
              </a:graphicData>
            </a:graphic>
          </wp:anchor>
        </w:drawing>
      </w:r>
      <w:r>
        <w:rPr>
          <w:rFonts w:hint="eastAsia" w:ascii="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-118745</wp:posOffset>
                </wp:positionH>
                <wp:positionV relativeFrom="paragraph">
                  <wp:posOffset>616585</wp:posOffset>
                </wp:positionV>
                <wp:extent cx="1047750" cy="372745"/>
                <wp:effectExtent l="5080" t="4445" r="13970" b="22860"/>
                <wp:wrapNone/>
                <wp:docPr id="6" name="矩形 34"/>
                <wp:cNvGraphicFramePr/>
                <a:graphic xmlns:a="http://schemas.openxmlformats.org/drawingml/2006/main">
                  <a:graphicData uri="http://schemas.microsoft.com/office/word/2010/wordprocessingShape">
                    <wps:wsp>
                      <wps:cNvSpPr/>
                      <wps:spPr>
                        <a:xfrm>
                          <a:off x="0" y="0"/>
                          <a:ext cx="1047750" cy="372745"/>
                        </a:xfrm>
                        <a:prstGeom prst="rect">
                          <a:avLst/>
                        </a:prstGeom>
                        <a:solidFill>
                          <a:srgbClr val="FFFFFF"/>
                        </a:solidFill>
                        <a:ln w="9525" cap="flat" cmpd="sng">
                          <a:solidFill>
                            <a:srgbClr val="FFFFFF"/>
                          </a:solidFill>
                          <a:prstDash val="solid"/>
                          <a:miter/>
                          <a:headEnd type="none" w="med" len="med"/>
                          <a:tailEnd type="none" w="med" len="med"/>
                        </a:ln>
                      </wps:spPr>
                      <wps:bodyPr wrap="square" upright="1"/>
                    </wps:wsp>
                  </a:graphicData>
                </a:graphic>
              </wp:anchor>
            </w:drawing>
          </mc:Choice>
          <mc:Fallback>
            <w:pict>
              <v:rect id="矩形 34" o:spid="_x0000_s1026" o:spt="1" style="position:absolute;left:0pt;margin-left:-9.35pt;margin-top:48.55pt;height:29.35pt;width:82.5pt;z-index:251664384;mso-width-relative:page;mso-height-relative:page;" fillcolor="#FFFFFF" filled="t" stroked="t" coordsize="21600,21600" o:gfxdata="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6K5ow2QAAAAoBAAAPAAAAAAAAAAEAIAAAACIAAABkcnMv&#10;ZG93bnJldi54bWxQSwECFAAUAAAACACHTuJAC17A0AICAAAtBAAADgAAAAAAAAABACAAAAAoAQAA&#10;ZHJzL2Uyb0RvYy54bWxQSwUGAAAAAAYABgBZAQAAnAUAAAAA&#10;">
                <v:fill on="t" focussize="0,0"/>
                <v:stroke color="#FFFFFF" joinstyle="miter"/>
                <v:imagedata o:title=""/>
                <o:lock v:ext="edit" aspectratio="f"/>
              </v:rect>
            </w:pict>
          </mc:Fallback>
        </mc:AlternateContent>
      </w:r>
      <w:r>
        <w:rPr>
          <w:rFonts w:hint="eastAsia" w:ascii="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641340" cy="0"/>
                <wp:effectExtent l="0" t="0" r="0" b="0"/>
                <wp:wrapNone/>
                <wp:docPr id="5" name="直线 31"/>
                <wp:cNvGraphicFramePr/>
                <a:graphic xmlns:a="http://schemas.openxmlformats.org/drawingml/2006/main">
                  <a:graphicData uri="http://schemas.microsoft.com/office/word/2010/wordprocessingShape">
                    <wps:wsp>
                      <wps:cNvSpPr/>
                      <wps:spPr>
                        <a:xfrm>
                          <a:off x="0" y="0"/>
                          <a:ext cx="56413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0pt;margin-top:0pt;height:0pt;width:444.2pt;z-index:251663360;mso-width-relative:page;mso-height-relative:page;" filled="f" stroked="t" coordsize="21600,21600" o:gfxdata="UEsDBAoAAAAAAIdO4kAAAAAAAAAAAAAAAAAEAAAAZHJzL1BLAwQUAAAACACHTuJA+stwGd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rLcBnRAAAAAgEA&#10;AA8AAAAAAAAAAQAgAAAAIgAAAGRycy9kb3ducmV2LnhtbFBLAQIUABQAAAAIAIdO4kDD3s9x6AEA&#10;ANwDAAAOAAAAAAAAAAEAIAAAACABAABkcnMvZTJvRG9jLnhtbFBLBQYAAAAABgAGAFkBAAB6BQAA&#10;AAA=&#10;">
                <v:fill on="f" focussize="0,0"/>
                <v:stroke color="#000000" joinstyle="round"/>
                <v:imagedata o:title=""/>
                <o:lock v:ext="edit" aspectratio="f"/>
              </v:line>
            </w:pict>
          </mc:Fallback>
        </mc:AlternateContent>
      </w:r>
      <w:r>
        <w:rPr>
          <w:rFonts w:hint="eastAsia" w:ascii="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374650</wp:posOffset>
                </wp:positionV>
                <wp:extent cx="5641340" cy="0"/>
                <wp:effectExtent l="0" t="0" r="0" b="0"/>
                <wp:wrapNone/>
                <wp:docPr id="4" name="直线 30"/>
                <wp:cNvGraphicFramePr/>
                <a:graphic xmlns:a="http://schemas.openxmlformats.org/drawingml/2006/main">
                  <a:graphicData uri="http://schemas.microsoft.com/office/word/2010/wordprocessingShape">
                    <wps:wsp>
                      <wps:cNvSpPr/>
                      <wps:spPr>
                        <a:xfrm>
                          <a:off x="0" y="0"/>
                          <a:ext cx="56413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0pt;margin-top:29.5pt;height:0pt;width:444.2pt;z-index:251662336;mso-width-relative:page;mso-height-relative:page;" filled="f" stroked="t" coordsize="21600,21600" o:gfxdata="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q6WK9QAAAAG&#10;AQAADwAAAAAAAAABACAAAAAiAAAAZHJzL2Rvd25yZXYueG1sUEsBAhQAFAAAAAgAh07iQLo07aLn&#10;AQAA3A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sz w:val="32"/>
          <w:szCs w:val="32"/>
        </w:rPr>
        <w:t>河南省教育厅办公室    主动公开   2022年6月21日印发</w:t>
      </w:r>
    </w:p>
    <w:sectPr>
      <w:footerReference r:id="rId6" w:type="default"/>
      <w:footerReference r:id="rId7" w:type="even"/>
      <w:pgSz w:w="11906" w:h="16838"/>
      <w:pgMar w:top="1644" w:right="1361" w:bottom="2268" w:left="1531" w:header="0" w:footer="1814" w:gutter="0"/>
      <w:cols w:space="720" w:num="1"/>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Fonts w:hint="eastAsia" w:ascii="仿宋_GB2312"/>
        <w:sz w:val="30"/>
        <w:szCs w:val="30"/>
      </w:rPr>
    </w:pPr>
    <w:r>
      <w:rPr>
        <w:rStyle w:val="14"/>
        <w:rFonts w:hint="eastAsia" w:ascii="仿宋_GB2312"/>
        <w:sz w:val="30"/>
        <w:szCs w:val="30"/>
      </w:rPr>
      <w:t xml:space="preserve">— </w:t>
    </w:r>
    <w:r>
      <w:rPr>
        <w:rFonts w:hint="eastAsia" w:ascii="仿宋_GB2312"/>
        <w:sz w:val="30"/>
        <w:szCs w:val="30"/>
      </w:rPr>
      <w:fldChar w:fldCharType="begin"/>
    </w:r>
    <w:r>
      <w:rPr>
        <w:rStyle w:val="14"/>
        <w:rFonts w:hint="eastAsia" w:ascii="仿宋_GB2312"/>
        <w:sz w:val="30"/>
        <w:szCs w:val="30"/>
      </w:rPr>
      <w:instrText xml:space="preserve"> PAGE </w:instrText>
    </w:r>
    <w:r>
      <w:rPr>
        <w:rFonts w:hint="eastAsia" w:ascii="仿宋_GB2312"/>
        <w:sz w:val="30"/>
        <w:szCs w:val="30"/>
      </w:rPr>
      <w:fldChar w:fldCharType="separate"/>
    </w:r>
    <w:r>
      <w:rPr>
        <w:rStyle w:val="14"/>
        <w:rFonts w:ascii="仿宋_GB2312"/>
        <w:sz w:val="30"/>
        <w:szCs w:val="30"/>
      </w:rPr>
      <w:t>3</w:t>
    </w:r>
    <w:r>
      <w:rPr>
        <w:rFonts w:hint="eastAsia" w:ascii="仿宋_GB2312"/>
        <w:sz w:val="30"/>
        <w:szCs w:val="30"/>
      </w:rPr>
      <w:fldChar w:fldCharType="end"/>
    </w:r>
    <w:r>
      <w:rPr>
        <w:rStyle w:val="14"/>
        <w:rFonts w:hint="eastAsia" w:ascii="仿宋_GB2312"/>
        <w:sz w:val="30"/>
        <w:szCs w:val="30"/>
      </w:rPr>
      <w:t xml:space="preserve"> —</w:t>
    </w:r>
  </w:p>
  <w:p>
    <w:pPr>
      <w:pStyle w:val="6"/>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Fonts w:hint="eastAsia" w:ascii="仿宋_GB2312"/>
        <w:sz w:val="30"/>
        <w:szCs w:val="30"/>
      </w:rPr>
    </w:pPr>
    <w:r>
      <w:rPr>
        <w:rStyle w:val="14"/>
        <w:rFonts w:hint="eastAsia" w:ascii="仿宋_GB2312"/>
        <w:sz w:val="30"/>
        <w:szCs w:val="30"/>
      </w:rPr>
      <w:t xml:space="preserve">— </w:t>
    </w:r>
    <w:r>
      <w:rPr>
        <w:rStyle w:val="14"/>
        <w:rFonts w:hint="eastAsia" w:ascii="仿宋_GB2312"/>
        <w:sz w:val="30"/>
        <w:szCs w:val="30"/>
      </w:rPr>
      <w:fldChar w:fldCharType="begin"/>
    </w:r>
    <w:r>
      <w:rPr>
        <w:rStyle w:val="14"/>
        <w:rFonts w:hint="eastAsia" w:ascii="仿宋_GB2312"/>
        <w:sz w:val="30"/>
        <w:szCs w:val="30"/>
      </w:rPr>
      <w:instrText xml:space="preserve"> PAGE </w:instrText>
    </w:r>
    <w:r>
      <w:rPr>
        <w:rStyle w:val="14"/>
        <w:rFonts w:hint="eastAsia" w:ascii="仿宋_GB2312"/>
        <w:sz w:val="30"/>
        <w:szCs w:val="30"/>
      </w:rPr>
      <w:fldChar w:fldCharType="separate"/>
    </w:r>
    <w:r>
      <w:rPr>
        <w:rStyle w:val="14"/>
        <w:rFonts w:ascii="仿宋_GB2312"/>
        <w:sz w:val="30"/>
        <w:szCs w:val="30"/>
      </w:rPr>
      <w:t>29</w:t>
    </w:r>
    <w:r>
      <w:rPr>
        <w:rStyle w:val="14"/>
        <w:rFonts w:hint="eastAsia" w:ascii="仿宋_GB2312"/>
        <w:sz w:val="30"/>
        <w:szCs w:val="30"/>
      </w:rPr>
      <w:fldChar w:fldCharType="end"/>
    </w:r>
    <w:r>
      <w:rPr>
        <w:rStyle w:val="14"/>
        <w:rFonts w:hint="eastAsia" w:ascii="仿宋_GB2312"/>
        <w:sz w:val="30"/>
        <w:szCs w:val="30"/>
      </w:rPr>
      <w:t xml:space="preserve"> —</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Fonts w:hint="eastAsia" w:ascii="仿宋_GB2312"/>
        <w:sz w:val="28"/>
        <w:szCs w:val="28"/>
      </w:rPr>
    </w:pPr>
    <w:r>
      <w:rPr>
        <w:rStyle w:val="14"/>
        <w:rFonts w:hint="eastAsia" w:ascii="仿宋_GB2312"/>
        <w:sz w:val="28"/>
        <w:szCs w:val="28"/>
      </w:rPr>
      <w:t xml:space="preserve">— </w:t>
    </w:r>
    <w:r>
      <w:rPr>
        <w:rFonts w:hint="eastAsia" w:ascii="仿宋_GB2312"/>
        <w:sz w:val="28"/>
        <w:szCs w:val="28"/>
      </w:rPr>
      <w:fldChar w:fldCharType="begin"/>
    </w:r>
    <w:r>
      <w:rPr>
        <w:rStyle w:val="14"/>
        <w:rFonts w:hint="eastAsia" w:ascii="仿宋_GB2312"/>
        <w:sz w:val="28"/>
        <w:szCs w:val="28"/>
      </w:rPr>
      <w:instrText xml:space="preserve"> PAGE </w:instrText>
    </w:r>
    <w:r>
      <w:rPr>
        <w:rFonts w:hint="eastAsia" w:ascii="仿宋_GB2312"/>
        <w:sz w:val="28"/>
        <w:szCs w:val="28"/>
      </w:rPr>
      <w:fldChar w:fldCharType="separate"/>
    </w:r>
    <w:r>
      <w:rPr>
        <w:rStyle w:val="14"/>
        <w:rFonts w:ascii="仿宋_GB2312"/>
        <w:sz w:val="28"/>
        <w:szCs w:val="28"/>
      </w:rPr>
      <w:t>30</w:t>
    </w:r>
    <w:r>
      <w:rPr>
        <w:rFonts w:hint="eastAsia" w:ascii="仿宋_GB2312"/>
        <w:sz w:val="28"/>
        <w:szCs w:val="28"/>
      </w:rPr>
      <w:fldChar w:fldCharType="end"/>
    </w:r>
    <w:r>
      <w:rPr>
        <w:rStyle w:val="14"/>
        <w:rFonts w:hint="eastAsia" w:ascii="仿宋_GB2312"/>
        <w:sz w:val="28"/>
        <w:szCs w:val="28"/>
      </w:rPr>
      <w:t xml:space="preserve"> —</w:t>
    </w:r>
  </w:p>
  <w:p>
    <w:pPr>
      <w:pStyle w:val="6"/>
      <w:jc w:val="center"/>
      <w:rPr>
        <w:rStyle w:val="2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fldChar w:fldCharType="begin"/>
    </w:r>
    <w:r>
      <w:rPr>
        <w:rStyle w:val="14"/>
      </w:rPr>
      <w:instrText xml:space="preserve">PAGE  </w:instrTex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50"/>
  <w:drawingGridVerticalSpacing w:val="587"/>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64"/>
    <w:rsid w:val="00006731"/>
    <w:rsid w:val="00026E8C"/>
    <w:rsid w:val="0003551E"/>
    <w:rsid w:val="000404AB"/>
    <w:rsid w:val="00043945"/>
    <w:rsid w:val="00065E78"/>
    <w:rsid w:val="00090C8D"/>
    <w:rsid w:val="00094C70"/>
    <w:rsid w:val="000E59E1"/>
    <w:rsid w:val="000E5C55"/>
    <w:rsid w:val="000F7043"/>
    <w:rsid w:val="0010346E"/>
    <w:rsid w:val="00106720"/>
    <w:rsid w:val="00114F95"/>
    <w:rsid w:val="001257EA"/>
    <w:rsid w:val="0013218E"/>
    <w:rsid w:val="0014104F"/>
    <w:rsid w:val="00142142"/>
    <w:rsid w:val="00144220"/>
    <w:rsid w:val="00147182"/>
    <w:rsid w:val="0015479B"/>
    <w:rsid w:val="00165F48"/>
    <w:rsid w:val="00172D18"/>
    <w:rsid w:val="00185A38"/>
    <w:rsid w:val="00187FC5"/>
    <w:rsid w:val="00190582"/>
    <w:rsid w:val="001937A8"/>
    <w:rsid w:val="001947A8"/>
    <w:rsid w:val="001A49A0"/>
    <w:rsid w:val="001A6A18"/>
    <w:rsid w:val="001D0051"/>
    <w:rsid w:val="001D14BC"/>
    <w:rsid w:val="001D27B0"/>
    <w:rsid w:val="001D6ED7"/>
    <w:rsid w:val="001D723E"/>
    <w:rsid w:val="001E0012"/>
    <w:rsid w:val="001F5A10"/>
    <w:rsid w:val="002012B0"/>
    <w:rsid w:val="002072FB"/>
    <w:rsid w:val="002101E4"/>
    <w:rsid w:val="00210F81"/>
    <w:rsid w:val="0021366B"/>
    <w:rsid w:val="00224295"/>
    <w:rsid w:val="00234A9A"/>
    <w:rsid w:val="00235105"/>
    <w:rsid w:val="00246149"/>
    <w:rsid w:val="00250AA4"/>
    <w:rsid w:val="0026191E"/>
    <w:rsid w:val="00265669"/>
    <w:rsid w:val="0026676A"/>
    <w:rsid w:val="00274B68"/>
    <w:rsid w:val="00275454"/>
    <w:rsid w:val="00276338"/>
    <w:rsid w:val="0027770F"/>
    <w:rsid w:val="00290F0B"/>
    <w:rsid w:val="002938DC"/>
    <w:rsid w:val="00297E31"/>
    <w:rsid w:val="002A406A"/>
    <w:rsid w:val="002A6AEE"/>
    <w:rsid w:val="002B6B27"/>
    <w:rsid w:val="002C1EAE"/>
    <w:rsid w:val="002C638D"/>
    <w:rsid w:val="002D6B85"/>
    <w:rsid w:val="002E10D4"/>
    <w:rsid w:val="002E46D9"/>
    <w:rsid w:val="002F5318"/>
    <w:rsid w:val="003018A4"/>
    <w:rsid w:val="00304AC8"/>
    <w:rsid w:val="0031251F"/>
    <w:rsid w:val="00322C8C"/>
    <w:rsid w:val="00325115"/>
    <w:rsid w:val="003259D8"/>
    <w:rsid w:val="00326859"/>
    <w:rsid w:val="00332A3A"/>
    <w:rsid w:val="00336F39"/>
    <w:rsid w:val="00341BCE"/>
    <w:rsid w:val="003509C4"/>
    <w:rsid w:val="00354959"/>
    <w:rsid w:val="00364065"/>
    <w:rsid w:val="00364F88"/>
    <w:rsid w:val="003767C9"/>
    <w:rsid w:val="00377C61"/>
    <w:rsid w:val="00391369"/>
    <w:rsid w:val="003A455C"/>
    <w:rsid w:val="003D7D13"/>
    <w:rsid w:val="003E1B3F"/>
    <w:rsid w:val="003E679C"/>
    <w:rsid w:val="0040249B"/>
    <w:rsid w:val="00406233"/>
    <w:rsid w:val="00420C0F"/>
    <w:rsid w:val="004231DF"/>
    <w:rsid w:val="0044297F"/>
    <w:rsid w:val="00486A8A"/>
    <w:rsid w:val="00493D71"/>
    <w:rsid w:val="00496C4B"/>
    <w:rsid w:val="00496C64"/>
    <w:rsid w:val="004B3D26"/>
    <w:rsid w:val="004E0531"/>
    <w:rsid w:val="004E0E5C"/>
    <w:rsid w:val="004E6F54"/>
    <w:rsid w:val="00502FB2"/>
    <w:rsid w:val="00511ADB"/>
    <w:rsid w:val="00522D99"/>
    <w:rsid w:val="0054314E"/>
    <w:rsid w:val="00543216"/>
    <w:rsid w:val="005461BC"/>
    <w:rsid w:val="005470F4"/>
    <w:rsid w:val="00567F89"/>
    <w:rsid w:val="0058323F"/>
    <w:rsid w:val="0058431B"/>
    <w:rsid w:val="00593662"/>
    <w:rsid w:val="005963A8"/>
    <w:rsid w:val="00597D82"/>
    <w:rsid w:val="005A0F97"/>
    <w:rsid w:val="005A46C3"/>
    <w:rsid w:val="005A51A2"/>
    <w:rsid w:val="005A7925"/>
    <w:rsid w:val="005B6183"/>
    <w:rsid w:val="005B653B"/>
    <w:rsid w:val="005D321D"/>
    <w:rsid w:val="005D6402"/>
    <w:rsid w:val="00601917"/>
    <w:rsid w:val="00605AEE"/>
    <w:rsid w:val="00630299"/>
    <w:rsid w:val="00635DE0"/>
    <w:rsid w:val="00637B65"/>
    <w:rsid w:val="00647762"/>
    <w:rsid w:val="00647F8F"/>
    <w:rsid w:val="006504CA"/>
    <w:rsid w:val="00656ED3"/>
    <w:rsid w:val="00666F50"/>
    <w:rsid w:val="00692246"/>
    <w:rsid w:val="00696140"/>
    <w:rsid w:val="00697E3F"/>
    <w:rsid w:val="006A059F"/>
    <w:rsid w:val="006B1DCB"/>
    <w:rsid w:val="006B6CF8"/>
    <w:rsid w:val="006D0175"/>
    <w:rsid w:val="006D62F1"/>
    <w:rsid w:val="006E1922"/>
    <w:rsid w:val="006F1896"/>
    <w:rsid w:val="006F455A"/>
    <w:rsid w:val="00714F5F"/>
    <w:rsid w:val="0071502E"/>
    <w:rsid w:val="00727B82"/>
    <w:rsid w:val="00740831"/>
    <w:rsid w:val="0075080A"/>
    <w:rsid w:val="0075331C"/>
    <w:rsid w:val="007574F0"/>
    <w:rsid w:val="00760597"/>
    <w:rsid w:val="007720DA"/>
    <w:rsid w:val="007746A3"/>
    <w:rsid w:val="007746CE"/>
    <w:rsid w:val="007842F3"/>
    <w:rsid w:val="0078585F"/>
    <w:rsid w:val="0078779D"/>
    <w:rsid w:val="00792F89"/>
    <w:rsid w:val="007A0A5A"/>
    <w:rsid w:val="007A0F87"/>
    <w:rsid w:val="007A44CE"/>
    <w:rsid w:val="007B2432"/>
    <w:rsid w:val="007C2C7A"/>
    <w:rsid w:val="007C4F66"/>
    <w:rsid w:val="007C7668"/>
    <w:rsid w:val="007E1737"/>
    <w:rsid w:val="007E3E34"/>
    <w:rsid w:val="007F4A49"/>
    <w:rsid w:val="008012B3"/>
    <w:rsid w:val="00802056"/>
    <w:rsid w:val="00810718"/>
    <w:rsid w:val="00812555"/>
    <w:rsid w:val="00816596"/>
    <w:rsid w:val="00816ABB"/>
    <w:rsid w:val="00817E97"/>
    <w:rsid w:val="00821D4B"/>
    <w:rsid w:val="008400A1"/>
    <w:rsid w:val="00843B9F"/>
    <w:rsid w:val="0085069E"/>
    <w:rsid w:val="00851464"/>
    <w:rsid w:val="00852282"/>
    <w:rsid w:val="0085271A"/>
    <w:rsid w:val="008549B2"/>
    <w:rsid w:val="00856D11"/>
    <w:rsid w:val="0086690D"/>
    <w:rsid w:val="0087459A"/>
    <w:rsid w:val="0087739A"/>
    <w:rsid w:val="008775A2"/>
    <w:rsid w:val="008840D5"/>
    <w:rsid w:val="008B15AE"/>
    <w:rsid w:val="008B1B5F"/>
    <w:rsid w:val="008B67C9"/>
    <w:rsid w:val="008C0678"/>
    <w:rsid w:val="008C0883"/>
    <w:rsid w:val="008C1272"/>
    <w:rsid w:val="008C373F"/>
    <w:rsid w:val="008C44A4"/>
    <w:rsid w:val="008C60CB"/>
    <w:rsid w:val="008D2FCB"/>
    <w:rsid w:val="008E0460"/>
    <w:rsid w:val="008F5584"/>
    <w:rsid w:val="008F5814"/>
    <w:rsid w:val="00900412"/>
    <w:rsid w:val="0091349B"/>
    <w:rsid w:val="009204D7"/>
    <w:rsid w:val="00931384"/>
    <w:rsid w:val="00936DF1"/>
    <w:rsid w:val="0093725E"/>
    <w:rsid w:val="00942671"/>
    <w:rsid w:val="0094567A"/>
    <w:rsid w:val="009519CE"/>
    <w:rsid w:val="00954018"/>
    <w:rsid w:val="00954F6D"/>
    <w:rsid w:val="0096495D"/>
    <w:rsid w:val="0096525F"/>
    <w:rsid w:val="00975887"/>
    <w:rsid w:val="009866EC"/>
    <w:rsid w:val="00996FED"/>
    <w:rsid w:val="009A0D14"/>
    <w:rsid w:val="009C7EDD"/>
    <w:rsid w:val="009D5D4D"/>
    <w:rsid w:val="009E686C"/>
    <w:rsid w:val="009E6B55"/>
    <w:rsid w:val="009F739C"/>
    <w:rsid w:val="00A07E9E"/>
    <w:rsid w:val="00A13FDB"/>
    <w:rsid w:val="00A25DA7"/>
    <w:rsid w:val="00A269EE"/>
    <w:rsid w:val="00A406C1"/>
    <w:rsid w:val="00A56DA8"/>
    <w:rsid w:val="00A61CE7"/>
    <w:rsid w:val="00A66FAF"/>
    <w:rsid w:val="00A720A7"/>
    <w:rsid w:val="00A765DB"/>
    <w:rsid w:val="00A848FA"/>
    <w:rsid w:val="00A93347"/>
    <w:rsid w:val="00A95A15"/>
    <w:rsid w:val="00AA3C87"/>
    <w:rsid w:val="00AA5757"/>
    <w:rsid w:val="00AC0093"/>
    <w:rsid w:val="00AC3AC8"/>
    <w:rsid w:val="00AD1ED7"/>
    <w:rsid w:val="00AD2C03"/>
    <w:rsid w:val="00AE2748"/>
    <w:rsid w:val="00AF0B38"/>
    <w:rsid w:val="00B0322C"/>
    <w:rsid w:val="00B12A26"/>
    <w:rsid w:val="00B14BF5"/>
    <w:rsid w:val="00B61573"/>
    <w:rsid w:val="00B61EAE"/>
    <w:rsid w:val="00B62354"/>
    <w:rsid w:val="00B63C30"/>
    <w:rsid w:val="00B72799"/>
    <w:rsid w:val="00B8202B"/>
    <w:rsid w:val="00B82426"/>
    <w:rsid w:val="00B937B3"/>
    <w:rsid w:val="00BB14C4"/>
    <w:rsid w:val="00BB2800"/>
    <w:rsid w:val="00BE1729"/>
    <w:rsid w:val="00C030EB"/>
    <w:rsid w:val="00C10704"/>
    <w:rsid w:val="00C178CE"/>
    <w:rsid w:val="00C30650"/>
    <w:rsid w:val="00C34AA9"/>
    <w:rsid w:val="00C37C3A"/>
    <w:rsid w:val="00C417E2"/>
    <w:rsid w:val="00C45661"/>
    <w:rsid w:val="00C53487"/>
    <w:rsid w:val="00C831D9"/>
    <w:rsid w:val="00C97E20"/>
    <w:rsid w:val="00CA0885"/>
    <w:rsid w:val="00CA38A5"/>
    <w:rsid w:val="00CA421F"/>
    <w:rsid w:val="00CB76AA"/>
    <w:rsid w:val="00CC05D3"/>
    <w:rsid w:val="00CE2650"/>
    <w:rsid w:val="00CE2F74"/>
    <w:rsid w:val="00CE5EB8"/>
    <w:rsid w:val="00CF482C"/>
    <w:rsid w:val="00D00C7B"/>
    <w:rsid w:val="00D17F0B"/>
    <w:rsid w:val="00D60054"/>
    <w:rsid w:val="00D6126A"/>
    <w:rsid w:val="00D624D2"/>
    <w:rsid w:val="00D7045B"/>
    <w:rsid w:val="00D76803"/>
    <w:rsid w:val="00D8721A"/>
    <w:rsid w:val="00DA34EC"/>
    <w:rsid w:val="00DA3F84"/>
    <w:rsid w:val="00DA5D6E"/>
    <w:rsid w:val="00DB25A3"/>
    <w:rsid w:val="00DB3DBC"/>
    <w:rsid w:val="00DC534A"/>
    <w:rsid w:val="00DD0C85"/>
    <w:rsid w:val="00DE698B"/>
    <w:rsid w:val="00DF1588"/>
    <w:rsid w:val="00E031A1"/>
    <w:rsid w:val="00E35CEE"/>
    <w:rsid w:val="00E369BA"/>
    <w:rsid w:val="00E403A7"/>
    <w:rsid w:val="00E42A36"/>
    <w:rsid w:val="00E44BAA"/>
    <w:rsid w:val="00E46558"/>
    <w:rsid w:val="00E52137"/>
    <w:rsid w:val="00E62E17"/>
    <w:rsid w:val="00E63A7C"/>
    <w:rsid w:val="00E74260"/>
    <w:rsid w:val="00E84764"/>
    <w:rsid w:val="00E86468"/>
    <w:rsid w:val="00E9390D"/>
    <w:rsid w:val="00E96B1D"/>
    <w:rsid w:val="00EC1420"/>
    <w:rsid w:val="00EC30CC"/>
    <w:rsid w:val="00EE5EEC"/>
    <w:rsid w:val="00EF1E99"/>
    <w:rsid w:val="00EF2A5D"/>
    <w:rsid w:val="00F06018"/>
    <w:rsid w:val="00F065B8"/>
    <w:rsid w:val="00F10379"/>
    <w:rsid w:val="00F12E3E"/>
    <w:rsid w:val="00F256A0"/>
    <w:rsid w:val="00F34C20"/>
    <w:rsid w:val="00F42697"/>
    <w:rsid w:val="00F63172"/>
    <w:rsid w:val="00F67460"/>
    <w:rsid w:val="00F71CC2"/>
    <w:rsid w:val="00F7700E"/>
    <w:rsid w:val="00F915B8"/>
    <w:rsid w:val="00FB1412"/>
    <w:rsid w:val="00FC64DC"/>
    <w:rsid w:val="00FE01FF"/>
    <w:rsid w:val="00FF7250"/>
    <w:rsid w:val="00FF7AA1"/>
    <w:rsid w:val="3DBC1D2A"/>
    <w:rsid w:val="501B3C9B"/>
    <w:rsid w:val="626C5FFB"/>
    <w:rsid w:val="6F1AA30A"/>
    <w:rsid w:val="9DFE7CF8"/>
    <w:rsid w:val="B7FF3CC9"/>
    <w:rsid w:val="CF99F2CF"/>
    <w:rsid w:val="FD7FE1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仿宋_GB2312" w:cs="Times New Roman"/>
      <w:kern w:val="2"/>
      <w:sz w:val="30"/>
      <w:szCs w:val="30"/>
      <w:lang w:val="en-US" w:eastAsia="zh-CN" w:bidi="ar-SA"/>
    </w:rPr>
  </w:style>
  <w:style w:type="paragraph" w:styleId="2">
    <w:name w:val="heading 1"/>
    <w:basedOn w:val="1"/>
    <w:next w:val="1"/>
    <w:link w:val="17"/>
    <w:qFormat/>
    <w:uiPriority w:val="0"/>
    <w:pPr>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link w:val="12"/>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3">
    <w:name w:val="Plain Text"/>
    <w:basedOn w:val="1"/>
    <w:qFormat/>
    <w:uiPriority w:val="0"/>
    <w:pPr>
      <w:widowControl w:val="0"/>
    </w:pPr>
    <w:rPr>
      <w:rFonts w:ascii="宋体" w:hAnsi="Courier New" w:eastAsia="宋体"/>
      <w:kern w:val="0"/>
      <w:sz w:val="20"/>
      <w:szCs w:val="21"/>
    </w:rPr>
  </w:style>
  <w:style w:type="paragraph" w:styleId="4">
    <w:name w:val="Date"/>
    <w:basedOn w:val="1"/>
    <w:next w:val="1"/>
    <w:qFormat/>
    <w:uiPriority w:val="0"/>
    <w:pPr>
      <w:ind w:left="100" w:leftChars="2500"/>
    </w:pPr>
  </w:style>
  <w:style w:type="paragraph" w:styleId="5">
    <w:name w:val="Balloon Text"/>
    <w:basedOn w:val="1"/>
    <w:link w:val="18"/>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rPr>
      <w:rFonts w:ascii="Calibri" w:hAnsi="Calibri"/>
    </w:r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Char"/>
    <w:basedOn w:val="1"/>
    <w:link w:val="11"/>
    <w:qFormat/>
    <w:uiPriority w:val="0"/>
    <w:pPr>
      <w:widowControl w:val="0"/>
    </w:pPr>
    <w:rPr>
      <w:rFonts w:ascii="Times New Roman" w:hAnsi="Times New Roman" w:eastAsia="仿宋_GB2312"/>
      <w:sz w:val="32"/>
      <w:szCs w:val="32"/>
    </w:rPr>
  </w:style>
  <w:style w:type="character" w:styleId="13">
    <w:name w:val="Strong"/>
    <w:basedOn w:val="11"/>
    <w:qFormat/>
    <w:uiPriority w:val="0"/>
    <w:rPr>
      <w:b/>
      <w:bCs/>
    </w:rPr>
  </w:style>
  <w:style w:type="character" w:styleId="14">
    <w:name w:val="page number"/>
    <w:basedOn w:val="11"/>
    <w:qFormat/>
    <w:uiPriority w:val="0"/>
  </w:style>
  <w:style w:type="character" w:styleId="15">
    <w:name w:val="FollowedHyperlink"/>
    <w:basedOn w:val="11"/>
    <w:unhideWhenUsed/>
    <w:qFormat/>
    <w:uiPriority w:val="0"/>
    <w:rPr>
      <w:color w:val="800080"/>
      <w:u w:val="single"/>
    </w:rPr>
  </w:style>
  <w:style w:type="character" w:styleId="16">
    <w:name w:val="Hyperlink"/>
    <w:basedOn w:val="11"/>
    <w:unhideWhenUsed/>
    <w:qFormat/>
    <w:uiPriority w:val="0"/>
    <w:rPr>
      <w:color w:val="0563C1"/>
      <w:u w:val="single"/>
    </w:rPr>
  </w:style>
  <w:style w:type="character" w:customStyle="1" w:styleId="17">
    <w:name w:val=" Char Char4"/>
    <w:link w:val="2"/>
    <w:qFormat/>
    <w:uiPriority w:val="0"/>
    <w:rPr>
      <w:rFonts w:ascii="宋体" w:hAnsi="宋体" w:eastAsia="宋体" w:cs="宋体"/>
      <w:b/>
      <w:bCs/>
      <w:kern w:val="36"/>
      <w:sz w:val="48"/>
      <w:szCs w:val="48"/>
      <w:lang w:val="en-US" w:eastAsia="zh-CN" w:bidi="ar-SA"/>
    </w:rPr>
  </w:style>
  <w:style w:type="character" w:customStyle="1" w:styleId="18">
    <w:name w:val=" Char Char1"/>
    <w:link w:val="5"/>
    <w:qFormat/>
    <w:uiPriority w:val="0"/>
    <w:rPr>
      <w:rFonts w:ascii="Calibri" w:hAnsi="Calibri"/>
      <w:kern w:val="2"/>
      <w:sz w:val="18"/>
      <w:szCs w:val="18"/>
    </w:rPr>
  </w:style>
  <w:style w:type="character" w:customStyle="1" w:styleId="19">
    <w:name w:val=" Char Char"/>
    <w:link w:val="6"/>
    <w:qFormat/>
    <w:locked/>
    <w:uiPriority w:val="0"/>
    <w:rPr>
      <w:rFonts w:ascii="Calibri" w:hAnsi="Calibri" w:eastAsia="宋体"/>
      <w:kern w:val="2"/>
      <w:sz w:val="18"/>
      <w:szCs w:val="18"/>
      <w:lang w:val="en-US" w:eastAsia="zh-CN" w:bidi="ar-SA"/>
    </w:rPr>
  </w:style>
  <w:style w:type="character" w:customStyle="1" w:styleId="20">
    <w:name w:val="NormalCharacter"/>
    <w:qFormat/>
    <w:uiPriority w:val="0"/>
    <w:rPr>
      <w:rFonts w:eastAsia="仿宋_GB2312"/>
      <w:sz w:val="30"/>
      <w:szCs w:val="30"/>
    </w:rPr>
  </w:style>
  <w:style w:type="paragraph" w:customStyle="1" w:styleId="21">
    <w:name w:val="List Paragraph"/>
    <w:basedOn w:val="1"/>
    <w:qFormat/>
    <w:uiPriority w:val="34"/>
    <w:pPr>
      <w:widowControl w:val="0"/>
      <w:ind w:firstLine="420" w:firstLineChars="200"/>
    </w:pPr>
  </w:style>
  <w:style w:type="paragraph" w:customStyle="1" w:styleId="22">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bmp"/><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12320</Words>
  <Characters>12746</Characters>
  <Lines>98</Lines>
  <Paragraphs>27</Paragraphs>
  <TotalTime>0.333333333333333</TotalTime>
  <ScaleCrop>false</ScaleCrop>
  <LinksUpToDate>false</LinksUpToDate>
  <CharactersWithSpaces>13105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2022-06-22T08:43:00Z</dcterms:created>
  <dc:creator>白涛</dc:creator>
  <cp:lastModifiedBy>暖风</cp:lastModifiedBy>
  <cp:lastPrinted>2020-10-13T07:46:00Z</cp:lastPrinted>
  <dcterms:modified xsi:type="dcterms:W3CDTF">2022-06-22T08:23:08Z</dcterms:modified>
  <dc:title>教高〔2020〕56号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FFEB30C2C2B9418793344CEF5229076B</vt:lpwstr>
  </property>
</Properties>
</file>